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93675">
      <w:pPr>
        <w:pStyle w:val="5"/>
        <w:spacing w:line="300" w:lineRule="exact"/>
        <w:rPr>
          <w:rFonts w:hint="eastAsia"/>
          <w:sz w:val="28"/>
          <w:szCs w:val="28"/>
        </w:rPr>
      </w:pPr>
      <w:r>
        <w:rPr>
          <w:rFonts w:hint="eastAsia"/>
          <w:sz w:val="28"/>
          <w:szCs w:val="28"/>
        </w:rPr>
        <w:t>合同编号：</w:t>
      </w:r>
    </w:p>
    <w:p w14:paraId="1F1E69D0">
      <w:pPr>
        <w:pStyle w:val="5"/>
        <w:rPr>
          <w:rFonts w:hint="eastAsia" w:ascii="楷体_GB2312" w:eastAsia="楷体_GB2312"/>
          <w:b/>
          <w:sz w:val="28"/>
          <w:szCs w:val="28"/>
        </w:rPr>
      </w:pPr>
    </w:p>
    <w:p w14:paraId="75CE5455">
      <w:pPr>
        <w:pStyle w:val="5"/>
        <w:rPr>
          <w:rFonts w:hint="eastAsia" w:ascii="楷体_GB2312" w:eastAsia="楷体_GB2312"/>
          <w:b/>
          <w:sz w:val="28"/>
          <w:szCs w:val="28"/>
        </w:rPr>
      </w:pPr>
    </w:p>
    <w:p w14:paraId="6D152FBB">
      <w:pPr>
        <w:pStyle w:val="5"/>
        <w:jc w:val="center"/>
        <w:rPr>
          <w:rFonts w:hint="eastAsia"/>
        </w:rPr>
      </w:pPr>
      <w:r>
        <w:rPr>
          <w:rFonts w:hint="eastAsia" w:ascii="楷体_GB2312" w:eastAsia="楷体_GB2312"/>
          <w:b/>
          <w:sz w:val="72"/>
          <w:szCs w:val="72"/>
        </w:rPr>
        <w:t>测  绘  合  同</w:t>
      </w:r>
    </w:p>
    <w:p w14:paraId="3233798D">
      <w:pPr>
        <w:pStyle w:val="5"/>
        <w:rPr>
          <w:rFonts w:hint="eastAsia"/>
          <w:sz w:val="28"/>
          <w:szCs w:val="28"/>
        </w:rPr>
      </w:pPr>
    </w:p>
    <w:p w14:paraId="086B6033">
      <w:pPr>
        <w:pStyle w:val="5"/>
        <w:rPr>
          <w:rFonts w:hint="eastAsia"/>
          <w:sz w:val="28"/>
          <w:szCs w:val="28"/>
        </w:rPr>
      </w:pPr>
    </w:p>
    <w:p w14:paraId="4D9A3F74">
      <w:pPr>
        <w:pStyle w:val="5"/>
        <w:rPr>
          <w:rFonts w:hint="eastAsia"/>
          <w:sz w:val="28"/>
          <w:szCs w:val="28"/>
        </w:rPr>
      </w:pPr>
    </w:p>
    <w:p w14:paraId="4CC8D5BB">
      <w:pPr>
        <w:pStyle w:val="5"/>
        <w:ind w:left="1400" w:hanging="1400" w:hangingChars="500"/>
        <w:rPr>
          <w:rFonts w:hint="eastAsia"/>
          <w:sz w:val="28"/>
          <w:szCs w:val="28"/>
        </w:rPr>
      </w:pPr>
      <w:r>
        <w:rPr>
          <w:rFonts w:hint="eastAsia"/>
          <w:sz w:val="28"/>
          <w:szCs w:val="28"/>
        </w:rPr>
        <w:t>工程名称：</w:t>
      </w:r>
      <w:r>
        <w:rPr>
          <w:rFonts w:hint="eastAsia"/>
          <w:sz w:val="28"/>
          <w:szCs w:val="28"/>
          <w:u w:val="single"/>
          <w:lang w:val="en-US" w:eastAsia="zh-CN"/>
        </w:rPr>
        <w:t xml:space="preserve">         </w:t>
      </w:r>
      <w:r>
        <w:rPr>
          <w:rFonts w:hint="eastAsia" w:hAnsi="Courier New" w:eastAsia="宋体" w:cs="Times New Roman"/>
          <w:sz w:val="28"/>
          <w:szCs w:val="28"/>
          <w:u w:val="single"/>
          <w:lang w:val="en-US" w:eastAsia="zh-CN"/>
        </w:rPr>
        <w:t xml:space="preserve">  </w:t>
      </w:r>
      <w:r>
        <w:rPr>
          <w:rFonts w:hint="eastAsia"/>
          <w:sz w:val="28"/>
          <w:szCs w:val="28"/>
          <w:u w:val="single"/>
        </w:rPr>
        <w:t xml:space="preserve">         </w:t>
      </w:r>
    </w:p>
    <w:p w14:paraId="2A9F3DA5">
      <w:pPr>
        <w:pStyle w:val="5"/>
        <w:ind w:firstLine="719" w:firstLineChars="257"/>
        <w:rPr>
          <w:rFonts w:hint="eastAsia"/>
          <w:sz w:val="28"/>
          <w:szCs w:val="28"/>
        </w:rPr>
      </w:pPr>
    </w:p>
    <w:p w14:paraId="505C1E99">
      <w:pPr>
        <w:pStyle w:val="5"/>
        <w:ind w:left="1400" w:hanging="1400" w:hangingChars="500"/>
        <w:rPr>
          <w:rFonts w:hint="eastAsia"/>
          <w:sz w:val="28"/>
          <w:szCs w:val="28"/>
        </w:rPr>
      </w:pPr>
      <w:r>
        <w:rPr>
          <w:rFonts w:hint="eastAsia"/>
          <w:sz w:val="28"/>
          <w:szCs w:val="28"/>
        </w:rPr>
        <w:t>工程地点：</w:t>
      </w:r>
      <w:r>
        <w:rPr>
          <w:rFonts w:hint="eastAsia"/>
          <w:sz w:val="28"/>
          <w:szCs w:val="28"/>
          <w:u w:val="single"/>
        </w:rPr>
        <w:t xml:space="preserve">                     </w:t>
      </w:r>
    </w:p>
    <w:p w14:paraId="4732F971">
      <w:pPr>
        <w:pStyle w:val="5"/>
        <w:ind w:firstLine="539" w:firstLineChars="257"/>
        <w:rPr>
          <w:rFonts w:hint="eastAsia"/>
        </w:rPr>
      </w:pPr>
    </w:p>
    <w:p w14:paraId="59732239">
      <w:pPr>
        <w:pStyle w:val="5"/>
        <w:ind w:firstLine="539" w:firstLineChars="257"/>
        <w:rPr>
          <w:rFonts w:hint="eastAsia"/>
        </w:rPr>
      </w:pPr>
    </w:p>
    <w:p w14:paraId="68B6AF12">
      <w:pPr>
        <w:pStyle w:val="5"/>
        <w:rPr>
          <w:rFonts w:hint="eastAsia" w:hAnsi="宋体"/>
          <w:sz w:val="28"/>
          <w:szCs w:val="28"/>
        </w:rPr>
      </w:pPr>
      <w:r>
        <w:rPr>
          <w:rFonts w:hint="eastAsia" w:hAnsi="宋体"/>
          <w:sz w:val="28"/>
          <w:szCs w:val="28"/>
        </w:rPr>
        <w:t>委 托 方：</w:t>
      </w:r>
      <w:r>
        <w:rPr>
          <w:rFonts w:hint="eastAsia" w:hAnsi="宋体"/>
          <w:sz w:val="28"/>
          <w:szCs w:val="28"/>
          <w:u w:val="single"/>
        </w:rPr>
        <w:t xml:space="preserve">                                                   </w:t>
      </w:r>
    </w:p>
    <w:p w14:paraId="0B69B31C">
      <w:pPr>
        <w:pStyle w:val="5"/>
        <w:rPr>
          <w:rFonts w:hint="eastAsia" w:hAnsi="宋体"/>
          <w:sz w:val="28"/>
          <w:szCs w:val="28"/>
        </w:rPr>
      </w:pPr>
      <w:r>
        <w:rPr>
          <w:rFonts w:hint="eastAsia" w:hAnsi="宋体"/>
          <w:sz w:val="28"/>
          <w:szCs w:val="28"/>
        </w:rPr>
        <w:t>（甲方）</w:t>
      </w:r>
    </w:p>
    <w:p w14:paraId="7EFCF057">
      <w:pPr>
        <w:pStyle w:val="5"/>
        <w:rPr>
          <w:rFonts w:hint="eastAsia" w:hAnsi="宋体"/>
          <w:sz w:val="28"/>
          <w:szCs w:val="28"/>
        </w:rPr>
      </w:pPr>
      <w:r>
        <w:rPr>
          <w:rFonts w:hint="eastAsia" w:hAnsi="宋体"/>
          <w:sz w:val="28"/>
          <w:szCs w:val="28"/>
        </w:rPr>
        <w:t>承 揽 方：</w:t>
      </w:r>
      <w:r>
        <w:rPr>
          <w:rFonts w:hint="eastAsia" w:hAnsi="宋体"/>
          <w:sz w:val="28"/>
          <w:szCs w:val="28"/>
          <w:u w:val="single"/>
        </w:rPr>
        <w:t xml:space="preserve">                                               </w:t>
      </w:r>
    </w:p>
    <w:p w14:paraId="72CC5A0A">
      <w:pPr>
        <w:pStyle w:val="5"/>
        <w:rPr>
          <w:rFonts w:hint="eastAsia" w:hAnsi="宋体"/>
          <w:sz w:val="28"/>
          <w:szCs w:val="28"/>
        </w:rPr>
      </w:pPr>
      <w:r>
        <w:rPr>
          <w:rFonts w:hint="eastAsia" w:hAnsi="宋体"/>
          <w:sz w:val="28"/>
          <w:szCs w:val="28"/>
        </w:rPr>
        <w:t>（乙方）</w:t>
      </w:r>
    </w:p>
    <w:p w14:paraId="255D1A50">
      <w:pPr>
        <w:pStyle w:val="5"/>
        <w:ind w:firstLine="719" w:firstLineChars="257"/>
        <w:rPr>
          <w:rFonts w:hint="eastAsia" w:hAnsi="宋体"/>
          <w:sz w:val="28"/>
          <w:szCs w:val="28"/>
        </w:rPr>
      </w:pPr>
    </w:p>
    <w:p w14:paraId="7A38238C">
      <w:pPr>
        <w:pStyle w:val="5"/>
        <w:ind w:firstLine="719" w:firstLineChars="257"/>
        <w:rPr>
          <w:rFonts w:hint="eastAsia" w:hAnsi="宋体"/>
          <w:sz w:val="28"/>
          <w:szCs w:val="28"/>
        </w:rPr>
      </w:pPr>
    </w:p>
    <w:p w14:paraId="7710D0A8">
      <w:pPr>
        <w:pStyle w:val="5"/>
        <w:rPr>
          <w:rFonts w:hint="eastAsia" w:hAnsi="宋体"/>
          <w:sz w:val="28"/>
          <w:szCs w:val="28"/>
        </w:rPr>
      </w:pPr>
      <w:r>
        <w:rPr>
          <w:rFonts w:hint="eastAsia" w:hAnsi="宋体"/>
          <w:sz w:val="28"/>
          <w:szCs w:val="28"/>
        </w:rPr>
        <w:t>签定日期：</w:t>
      </w:r>
      <w:r>
        <w:rPr>
          <w:rFonts w:hint="eastAsia" w:hAnsi="宋体"/>
          <w:sz w:val="28"/>
          <w:szCs w:val="28"/>
          <w:u w:val="single"/>
        </w:rPr>
        <w:t xml:space="preserve">             </w:t>
      </w:r>
      <w:r>
        <w:rPr>
          <w:rFonts w:hint="eastAsia" w:hAnsi="宋体"/>
          <w:sz w:val="28"/>
          <w:szCs w:val="28"/>
          <w:u w:val="single"/>
          <w:lang w:val="en-US" w:eastAsia="zh-CN"/>
        </w:rPr>
        <w:t xml:space="preserve">                  </w:t>
      </w:r>
      <w:r>
        <w:rPr>
          <w:rFonts w:hint="eastAsia" w:hAnsi="宋体"/>
          <w:sz w:val="28"/>
          <w:szCs w:val="28"/>
          <w:u w:val="single"/>
        </w:rPr>
        <w:t xml:space="preserve">                   </w:t>
      </w:r>
    </w:p>
    <w:p w14:paraId="38A64CE6">
      <w:pPr>
        <w:pStyle w:val="5"/>
        <w:rPr>
          <w:rFonts w:hint="eastAsia"/>
        </w:rPr>
      </w:pPr>
      <w:r>
        <w:t xml:space="preserve">      </w:t>
      </w:r>
    </w:p>
    <w:p w14:paraId="117E0A5D">
      <w:pPr>
        <w:pStyle w:val="5"/>
        <w:rPr>
          <w:rFonts w:hint="eastAsia"/>
        </w:rPr>
      </w:pPr>
      <w:r>
        <w:t xml:space="preserve">               </w:t>
      </w:r>
    </w:p>
    <w:p w14:paraId="4527F7F7">
      <w:pPr>
        <w:pStyle w:val="5"/>
        <w:rPr>
          <w:rFonts w:hint="eastAsia"/>
        </w:rPr>
      </w:pPr>
    </w:p>
    <w:p w14:paraId="14C86357">
      <w:pPr>
        <w:pStyle w:val="5"/>
        <w:rPr>
          <w:rFonts w:hint="eastAsia"/>
        </w:rPr>
      </w:pPr>
    </w:p>
    <w:p w14:paraId="21F8A85F">
      <w:pPr>
        <w:pStyle w:val="5"/>
      </w:pPr>
    </w:p>
    <w:p w14:paraId="3F6C2345">
      <w:pPr>
        <w:pStyle w:val="5"/>
      </w:pPr>
    </w:p>
    <w:p w14:paraId="41EA211C">
      <w:pPr>
        <w:pStyle w:val="5"/>
        <w:rPr>
          <w:rFonts w:hint="eastAsia"/>
        </w:rPr>
      </w:pPr>
      <w:r>
        <w:t xml:space="preserve">             </w:t>
      </w:r>
      <w:r>
        <w:rPr>
          <w:rFonts w:hint="eastAsia"/>
        </w:rPr>
        <w:t xml:space="preserve"> </w:t>
      </w:r>
    </w:p>
    <w:p w14:paraId="3162B7C5">
      <w:pPr>
        <w:pStyle w:val="5"/>
        <w:rPr>
          <w:rFonts w:hint="eastAsia"/>
        </w:rPr>
      </w:pPr>
      <w:r>
        <w:rPr>
          <w:rFonts w:hint="eastAsia"/>
        </w:rPr>
        <w:t>委托方（甲方）：温州市中心医院                              合同编号：</w:t>
      </w:r>
    </w:p>
    <w:p w14:paraId="18B237D3">
      <w:pPr>
        <w:pStyle w:val="5"/>
      </w:pPr>
      <w:r>
        <w:rPr>
          <w:rFonts w:hint="eastAsia"/>
        </w:rPr>
        <w:t xml:space="preserve">承揽方（乙方）：              </w:t>
      </w:r>
      <w:r>
        <w:rPr>
          <w:rFonts w:hint="eastAsia"/>
          <w:lang w:val="en-US" w:eastAsia="zh-CN"/>
        </w:rPr>
        <w:t xml:space="preserve">                              </w:t>
      </w:r>
      <w:r>
        <w:rPr>
          <w:rFonts w:hint="eastAsia"/>
        </w:rPr>
        <w:t>签订地点：温州</w:t>
      </w:r>
    </w:p>
    <w:p w14:paraId="719E078C">
      <w:pPr>
        <w:pStyle w:val="5"/>
        <w:rPr>
          <w:rFonts w:hint="eastAsia"/>
        </w:rPr>
      </w:pPr>
      <w:r>
        <w:rPr>
          <w:rFonts w:hint="eastAsia"/>
        </w:rPr>
        <w:t xml:space="preserve">承揽方测绘资质等级：                         </w:t>
      </w:r>
      <w:r>
        <w:t xml:space="preserve">  </w:t>
      </w:r>
    </w:p>
    <w:p w14:paraId="554144F2">
      <w:pPr>
        <w:pStyle w:val="5"/>
        <w:ind w:firstLine="420" w:firstLineChars="200"/>
        <w:rPr>
          <w:rFonts w:hint="eastAsia" w:hAnsi="Courier New" w:eastAsia="宋体" w:cs="Times New Roman"/>
        </w:rPr>
      </w:pPr>
      <w:bookmarkStart w:id="0" w:name="_GoBack"/>
      <w:bookmarkEnd w:id="0"/>
      <w:r>
        <w:rPr>
          <w:rFonts w:hint="eastAsia"/>
          <w:color w:val="auto"/>
        </w:rPr>
        <w:t>根据《中华人民共和国民法典》、《中华人民共和国测绘法》和有关法律法规</w:t>
      </w:r>
      <w:r>
        <w:rPr>
          <w:rFonts w:hint="eastAsia" w:hAnsi="Courier New" w:eastAsia="宋体" w:cs="Times New Roman"/>
          <w:lang w:val="en-US" w:eastAsia="zh-CN"/>
        </w:rPr>
        <w:t>，经甲、</w:t>
      </w:r>
      <w:r>
        <w:rPr>
          <w:rFonts w:hint="eastAsia" w:hAnsi="Courier New" w:eastAsia="宋体" w:cs="Times New Roman"/>
        </w:rPr>
        <w:t>乙双方协商一致</w:t>
      </w:r>
      <w:r>
        <w:rPr>
          <w:rFonts w:hint="eastAsia" w:hAnsi="Courier New" w:eastAsia="宋体" w:cs="Times New Roman"/>
          <w:lang w:eastAsia="zh-CN"/>
        </w:rPr>
        <w:t>，</w:t>
      </w:r>
      <w:r>
        <w:rPr>
          <w:rFonts w:hint="eastAsia" w:hAnsi="Courier New" w:eastAsia="宋体" w:cs="Times New Roman"/>
          <w:lang w:val="en-US" w:eastAsia="zh-CN"/>
        </w:rPr>
        <w:t>续签</w:t>
      </w:r>
      <w:r>
        <w:rPr>
          <w:rFonts w:hint="eastAsia" w:hAnsi="Courier New" w:eastAsia="宋体" w:cs="Times New Roman"/>
        </w:rPr>
        <w:t>本合同。</w:t>
      </w:r>
    </w:p>
    <w:p w14:paraId="620E76A6">
      <w:pPr>
        <w:pStyle w:val="5"/>
        <w:ind w:firstLine="420"/>
        <w:rPr>
          <w:rFonts w:hint="eastAsia"/>
        </w:rPr>
      </w:pPr>
      <w:r>
        <w:rPr>
          <w:rFonts w:hint="eastAsia"/>
        </w:rPr>
        <w:t>第一条</w:t>
      </w:r>
      <w:r>
        <w:t xml:space="preserve">  </w:t>
      </w:r>
      <w:r>
        <w:rPr>
          <w:rFonts w:hint="eastAsia"/>
        </w:rPr>
        <w:t>测绘范围（包括测区地点、面积，测区地理位置等）：</w:t>
      </w:r>
    </w:p>
    <w:p w14:paraId="21979E88">
      <w:pPr>
        <w:pStyle w:val="5"/>
        <w:rPr>
          <w:rFonts w:hint="eastAsia"/>
        </w:rPr>
      </w:pPr>
      <w:r>
        <w:rPr>
          <w:rFonts w:hint="eastAsia"/>
        </w:rPr>
        <w:t xml:space="preserve">      温州市中心医院</w:t>
      </w:r>
      <w:r>
        <w:rPr>
          <w:rFonts w:hint="eastAsia"/>
          <w:lang w:val="en-US" w:eastAsia="zh-CN"/>
        </w:rPr>
        <w:t>百里坊院区</w:t>
      </w:r>
      <w:r>
        <w:rPr>
          <w:rFonts w:hint="eastAsia"/>
        </w:rPr>
        <w:t>3号楼、1号楼</w:t>
      </w:r>
    </w:p>
    <w:p w14:paraId="2DBC55C2">
      <w:pPr>
        <w:pStyle w:val="5"/>
        <w:numPr>
          <w:ilvl w:val="0"/>
          <w:numId w:val="1"/>
        </w:numPr>
        <w:rPr>
          <w:rFonts w:hint="eastAsia"/>
        </w:rPr>
      </w:pPr>
      <w:r>
        <w:rPr>
          <w:rFonts w:hint="eastAsia"/>
        </w:rPr>
        <w:t xml:space="preserve">测绘内容（包括测绘项目和工作量等）： </w:t>
      </w:r>
    </w:p>
    <w:p w14:paraId="383B8075">
      <w:pPr>
        <w:numPr>
          <w:ilvl w:val="0"/>
          <w:numId w:val="0"/>
        </w:numPr>
        <w:spacing w:line="360" w:lineRule="auto"/>
        <w:ind w:firstLine="480" w:firstLineChars="200"/>
        <w:jc w:val="left"/>
        <w:rPr>
          <w:rFonts w:hint="eastAsia" w:eastAsia="宋体"/>
          <w:b w:val="0"/>
          <w:bCs w:val="0"/>
          <w:sz w:val="24"/>
          <w:szCs w:val="24"/>
          <w:highlight w:val="none"/>
          <w:lang w:val="en-US" w:eastAsia="zh-CN"/>
        </w:rPr>
      </w:pPr>
      <w:r>
        <w:rPr>
          <w:rFonts w:hint="eastAsia" w:ascii="宋体" w:hAnsi="宋体" w:eastAsia="宋体"/>
          <w:b w:val="0"/>
          <w:bCs w:val="0"/>
          <w:sz w:val="24"/>
          <w:szCs w:val="24"/>
          <w:highlight w:val="none"/>
          <w:lang w:val="en-US" w:eastAsia="zh-CN"/>
        </w:rPr>
        <w:t>2026年温州市中心医院百里坊院区房屋变形观测服务，服务期限一年，观测周期：每个月沉降观测1次（计半年沉降观测6次,一年沉降观测12次），半年内倾斜观测3次，一年倾斜观测6次。合同服务期内，每6个月或根据发包人要求提供阶段分析总结不少于2次/年，发包人根据医院房屋使用计划，有权单方面直接解除合同，最终结算支付按照实际发生的观测次数进行支付，支付单价参照上述报价表中单价。</w:t>
      </w:r>
    </w:p>
    <w:p w14:paraId="65C9E4B4">
      <w:pPr>
        <w:pStyle w:val="5"/>
        <w:ind w:firstLine="105" w:firstLineChars="50"/>
        <w:rPr>
          <w:rFonts w:hint="eastAsia"/>
        </w:rPr>
      </w:pPr>
      <w:r>
        <w:t xml:space="preserve">   </w:t>
      </w:r>
      <w:r>
        <w:rPr>
          <w:rFonts w:hint="eastAsia"/>
        </w:rPr>
        <w:t>第三条</w:t>
      </w:r>
      <w:r>
        <w:t xml:space="preserve">  </w:t>
      </w:r>
      <w:r>
        <w:rPr>
          <w:rFonts w:hint="eastAsia"/>
        </w:rPr>
        <w:t>执行技术标准：</w:t>
      </w:r>
    </w:p>
    <w:tbl>
      <w:tblPr>
        <w:tblStyle w:val="3"/>
        <w:tblW w:w="875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08"/>
        <w:gridCol w:w="3778"/>
        <w:gridCol w:w="2342"/>
        <w:gridCol w:w="1627"/>
      </w:tblGrid>
      <w:tr w14:paraId="56D1C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690CBFDB">
            <w:pPr>
              <w:pStyle w:val="5"/>
              <w:spacing w:line="540" w:lineRule="exact"/>
              <w:jc w:val="center"/>
            </w:pPr>
            <w:r>
              <w:rPr>
                <w:rFonts w:hint="eastAsia"/>
              </w:rPr>
              <w:t>序  号</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40616C76">
            <w:pPr>
              <w:pStyle w:val="5"/>
              <w:spacing w:line="540" w:lineRule="exact"/>
              <w:jc w:val="center"/>
            </w:pPr>
            <w:r>
              <w:rPr>
                <w:rFonts w:hint="eastAsia"/>
              </w:rPr>
              <w:t>标准名称</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5ECA1B89">
            <w:pPr>
              <w:pStyle w:val="5"/>
              <w:spacing w:line="540" w:lineRule="exact"/>
              <w:jc w:val="center"/>
            </w:pPr>
            <w:r>
              <w:rPr>
                <w:rFonts w:hint="eastAsia"/>
              </w:rPr>
              <w:t>标准代号</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553A3476">
            <w:pPr>
              <w:pStyle w:val="5"/>
              <w:spacing w:line="540" w:lineRule="exact"/>
              <w:jc w:val="center"/>
            </w:pPr>
            <w:r>
              <w:rPr>
                <w:rFonts w:hint="eastAsia"/>
              </w:rPr>
              <w:t>备注</w:t>
            </w:r>
          </w:p>
        </w:tc>
      </w:tr>
      <w:tr w14:paraId="69CC6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5"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1F90FBF5">
            <w:pPr>
              <w:pStyle w:val="5"/>
              <w:spacing w:line="540" w:lineRule="exact"/>
              <w:jc w:val="center"/>
            </w:pPr>
            <w:r>
              <w:rPr>
                <w:rFonts w:hint="eastAsia"/>
              </w:rPr>
              <w:t>1</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25388325">
            <w:pPr>
              <w:pStyle w:val="5"/>
              <w:spacing w:line="540" w:lineRule="exact"/>
              <w:jc w:val="center"/>
            </w:pPr>
            <w:r>
              <w:rPr>
                <w:rFonts w:hint="eastAsia"/>
              </w:rPr>
              <w:t>《建筑变形测量规范》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0FEB4928">
            <w:pPr>
              <w:pStyle w:val="5"/>
              <w:spacing w:line="540" w:lineRule="exact"/>
              <w:jc w:val="center"/>
            </w:pPr>
            <w:r>
              <w:rPr>
                <w:rFonts w:hint="eastAsia"/>
              </w:rPr>
              <w:t>JGJ 8-2007</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638F50DC">
            <w:pPr>
              <w:pStyle w:val="5"/>
              <w:spacing w:line="540" w:lineRule="exact"/>
              <w:jc w:val="center"/>
              <w:rPr>
                <w:rFonts w:hint="eastAsia"/>
              </w:rPr>
            </w:pPr>
            <w:r>
              <w:rPr>
                <w:rFonts w:hint="eastAsia"/>
              </w:rPr>
              <w:t>行标</w:t>
            </w:r>
          </w:p>
        </w:tc>
      </w:tr>
      <w:tr w14:paraId="09CFE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19FA8A8E">
            <w:pPr>
              <w:pStyle w:val="5"/>
              <w:spacing w:line="540" w:lineRule="exact"/>
              <w:jc w:val="center"/>
            </w:pPr>
            <w:r>
              <w:rPr>
                <w:rFonts w:hint="eastAsia"/>
              </w:rPr>
              <w:t>2</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19BDC86E">
            <w:pPr>
              <w:pStyle w:val="5"/>
              <w:spacing w:line="540" w:lineRule="exact"/>
              <w:jc w:val="center"/>
            </w:pPr>
            <w:r>
              <w:rPr>
                <w:rFonts w:hint="eastAsia"/>
              </w:rPr>
              <w:t>《国家一、二等水准测量规范》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5006253D">
            <w:pPr>
              <w:pStyle w:val="5"/>
              <w:spacing w:line="540" w:lineRule="exact"/>
              <w:jc w:val="center"/>
            </w:pPr>
            <w:r>
              <w:rPr>
                <w:rFonts w:hint="eastAsia"/>
              </w:rPr>
              <w:t>GB/T 12897-2006</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60E7E211">
            <w:pPr>
              <w:pStyle w:val="5"/>
              <w:spacing w:line="540" w:lineRule="exact"/>
              <w:jc w:val="center"/>
              <w:rPr>
                <w:rFonts w:hint="eastAsia"/>
              </w:rPr>
            </w:pPr>
            <w:r>
              <w:rPr>
                <w:rFonts w:hint="eastAsia"/>
              </w:rPr>
              <w:t>国标</w:t>
            </w:r>
          </w:p>
        </w:tc>
      </w:tr>
      <w:tr w14:paraId="72520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9"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2F287DE7">
            <w:pPr>
              <w:pStyle w:val="5"/>
              <w:spacing w:line="540" w:lineRule="exact"/>
              <w:jc w:val="center"/>
            </w:pPr>
            <w:r>
              <w:rPr>
                <w:rFonts w:hint="eastAsia"/>
              </w:rPr>
              <w:t>3</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29673795">
            <w:pPr>
              <w:pStyle w:val="5"/>
              <w:spacing w:line="400" w:lineRule="exact"/>
              <w:jc w:val="center"/>
              <w:rPr>
                <w:sz w:val="18"/>
                <w:szCs w:val="18"/>
              </w:rPr>
            </w:pPr>
            <w:r>
              <w:rPr>
                <w:rFonts w:hint="eastAsia"/>
              </w:rPr>
              <w:t>《城市测量规范》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32C1401E">
            <w:pPr>
              <w:pStyle w:val="5"/>
              <w:spacing w:line="540" w:lineRule="exact"/>
              <w:jc w:val="center"/>
            </w:pPr>
            <w:r>
              <w:rPr>
                <w:rFonts w:hint="eastAsia"/>
              </w:rPr>
              <w:t>CJJ/T 8-2011</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095F90E7">
            <w:pPr>
              <w:pStyle w:val="5"/>
              <w:spacing w:line="540" w:lineRule="exact"/>
              <w:jc w:val="center"/>
              <w:rPr>
                <w:rFonts w:hint="eastAsia"/>
              </w:rPr>
            </w:pPr>
            <w:r>
              <w:rPr>
                <w:rFonts w:hint="eastAsia"/>
              </w:rPr>
              <w:t>行标</w:t>
            </w:r>
          </w:p>
        </w:tc>
      </w:tr>
      <w:tr w14:paraId="3D4FA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0527E651">
            <w:pPr>
              <w:pStyle w:val="5"/>
              <w:spacing w:line="540" w:lineRule="exact"/>
              <w:jc w:val="center"/>
            </w:pPr>
            <w:r>
              <w:rPr>
                <w:rFonts w:hint="eastAsia"/>
              </w:rPr>
              <w:t>4</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52F39B72">
            <w:pPr>
              <w:pStyle w:val="5"/>
              <w:spacing w:line="540" w:lineRule="exact"/>
              <w:jc w:val="center"/>
            </w:pPr>
            <w:r>
              <w:rPr>
                <w:rFonts w:hint="eastAsia"/>
              </w:rPr>
              <w:t>《工程测量规范》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15AF538B">
            <w:pPr>
              <w:pStyle w:val="5"/>
              <w:spacing w:line="540" w:lineRule="exact"/>
              <w:jc w:val="center"/>
            </w:pPr>
            <w:r>
              <w:rPr>
                <w:rFonts w:hint="eastAsia"/>
              </w:rPr>
              <w:t>GB 50026-2007</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28DF1068">
            <w:pPr>
              <w:pStyle w:val="5"/>
              <w:spacing w:line="540" w:lineRule="exact"/>
              <w:jc w:val="center"/>
              <w:rPr>
                <w:rFonts w:hint="eastAsia"/>
              </w:rPr>
            </w:pPr>
            <w:r>
              <w:rPr>
                <w:rFonts w:hint="eastAsia"/>
              </w:rPr>
              <w:t>国标</w:t>
            </w:r>
          </w:p>
        </w:tc>
      </w:tr>
      <w:tr w14:paraId="4098F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1A920236">
            <w:pPr>
              <w:pStyle w:val="5"/>
              <w:spacing w:line="540" w:lineRule="exact"/>
              <w:jc w:val="center"/>
            </w:pPr>
            <w:r>
              <w:rPr>
                <w:rFonts w:hint="eastAsia"/>
              </w:rPr>
              <w:t>5</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04EE137E">
            <w:pPr>
              <w:pStyle w:val="5"/>
              <w:spacing w:line="540" w:lineRule="exact"/>
              <w:jc w:val="center"/>
            </w:pPr>
            <w:r>
              <w:rPr>
                <w:rFonts w:hint="eastAsia"/>
              </w:rPr>
              <w:t>《测量外业电子记录基本规范》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72D6CB8F">
            <w:pPr>
              <w:pStyle w:val="5"/>
              <w:spacing w:line="540" w:lineRule="exact"/>
              <w:jc w:val="center"/>
            </w:pPr>
            <w:r>
              <w:rPr>
                <w:rFonts w:hint="eastAsia"/>
              </w:rPr>
              <w:t>ZBA 26003-87</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645D75B2">
            <w:pPr>
              <w:pStyle w:val="5"/>
              <w:spacing w:line="540" w:lineRule="exact"/>
              <w:jc w:val="center"/>
            </w:pPr>
            <w:r>
              <w:rPr>
                <w:rFonts w:hint="eastAsia"/>
              </w:rPr>
              <w:t>／</w:t>
            </w:r>
          </w:p>
        </w:tc>
      </w:tr>
      <w:tr w14:paraId="12B4A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61EF4048">
            <w:pPr>
              <w:pStyle w:val="5"/>
              <w:spacing w:line="540" w:lineRule="exact"/>
              <w:jc w:val="center"/>
              <w:rPr>
                <w:rFonts w:hint="eastAsia"/>
              </w:rPr>
            </w:pPr>
            <w:r>
              <w:rPr>
                <w:rFonts w:hint="eastAsia"/>
              </w:rPr>
              <w:t>6</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46C881FB">
            <w:pPr>
              <w:pStyle w:val="5"/>
              <w:spacing w:line="540" w:lineRule="exact"/>
              <w:jc w:val="center"/>
              <w:rPr>
                <w:rFonts w:hint="eastAsia"/>
              </w:rPr>
            </w:pPr>
            <w:r>
              <w:rPr>
                <w:rFonts w:hint="eastAsia"/>
              </w:rPr>
              <w:t>《工程测量实施细则》</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5506A501">
            <w:pPr>
              <w:pStyle w:val="5"/>
              <w:spacing w:line="540" w:lineRule="exact"/>
              <w:jc w:val="center"/>
              <w:rPr>
                <w:rFonts w:hint="eastAsia"/>
              </w:rPr>
            </w:pPr>
            <w:r>
              <w:rPr>
                <w:rFonts w:hint="eastAsia"/>
              </w:rPr>
              <w:t xml:space="preserve"> ／  </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59BADDDC">
            <w:pPr>
              <w:pStyle w:val="5"/>
              <w:spacing w:line="540" w:lineRule="exact"/>
              <w:jc w:val="center"/>
              <w:rPr>
                <w:rFonts w:hint="eastAsia"/>
              </w:rPr>
            </w:pPr>
          </w:p>
        </w:tc>
      </w:tr>
    </w:tbl>
    <w:p w14:paraId="5EA692FD">
      <w:pPr>
        <w:pStyle w:val="5"/>
        <w:rPr>
          <w:rFonts w:hint="eastAsia"/>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1029335</wp:posOffset>
                </wp:positionH>
                <wp:positionV relativeFrom="paragraph">
                  <wp:posOffset>76200</wp:posOffset>
                </wp:positionV>
                <wp:extent cx="114300" cy="99060"/>
                <wp:effectExtent l="3175" t="3810" r="15875" b="11430"/>
                <wp:wrapNone/>
                <wp:docPr id="1" name="直接连接符 1"/>
                <wp:cNvGraphicFramePr/>
                <a:graphic xmlns:a="http://schemas.openxmlformats.org/drawingml/2006/main">
                  <a:graphicData uri="http://schemas.microsoft.com/office/word/2010/wordprocessingShape">
                    <wps:wsp>
                      <wps:cNvCnPr/>
                      <wps:spPr>
                        <a:xfrm flipH="1">
                          <a:off x="0" y="0"/>
                          <a:ext cx="114300" cy="990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81.05pt;margin-top:6pt;height:7.8pt;width:9pt;z-index:251659264;mso-width-relative:page;mso-height-relative:page;" filled="f" stroked="t" coordsize="21600,21600" o:gfxdata="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dcVKHVAAAACQEAAA8AAAAAAAAAAQAgAAAAIgAAAGRycy9kb3ducmV2&#10;LnhtbFBLAQIUABQAAAAIAIdO4kCiIQiP/wEAAPEDAAAOAAAAAAAAAAEAIAAAACQBAABkcnMvZTJv&#10;RG9jLnhtbFBLBQYAAAAABgAGAFkBAACVBQAAAAA=&#10;">
                <v:fill on="f" focussize="0,0"/>
                <v:stroke color="#000000" joinstyle="round"/>
                <v:imagedata o:title=""/>
                <o:lock v:ext="edit" aspectratio="f"/>
              </v:line>
            </w:pict>
          </mc:Fallback>
        </mc:AlternateContent>
      </w:r>
      <w:r>
        <w:rPr>
          <w:rFonts w:hint="eastAsia"/>
        </w:rPr>
        <w:t xml:space="preserve">其它技术要求：    </w:t>
      </w:r>
    </w:p>
    <w:p w14:paraId="4A3C7366">
      <w:pPr>
        <w:pStyle w:val="5"/>
        <w:numPr>
          <w:ilvl w:val="0"/>
          <w:numId w:val="2"/>
        </w:numPr>
        <w:rPr>
          <w:rFonts w:hint="eastAsia"/>
        </w:rPr>
      </w:pPr>
      <w:r>
        <w:rPr>
          <w:rFonts w:hint="eastAsia"/>
        </w:rPr>
        <w:t>测绘工程费：</w:t>
      </w:r>
    </w:p>
    <w:p w14:paraId="40586793">
      <w:pPr>
        <w:pStyle w:val="5"/>
        <w:numPr>
          <w:ilvl w:val="0"/>
          <w:numId w:val="3"/>
        </w:numPr>
        <w:rPr>
          <w:rFonts w:hint="eastAsia"/>
        </w:rPr>
      </w:pPr>
      <w:r>
        <w:rPr>
          <w:rFonts w:hint="eastAsia"/>
        </w:rPr>
        <w:t>取费依据：按国家测绘局颁布的《测绘工程产品价格》（国测字【2002】3号）</w:t>
      </w:r>
    </w:p>
    <w:p w14:paraId="4C9EE859">
      <w:pPr>
        <w:pStyle w:val="5"/>
        <w:numPr>
          <w:ilvl w:val="0"/>
          <w:numId w:val="3"/>
        </w:numPr>
        <w:rPr>
          <w:rFonts w:hint="eastAsia"/>
        </w:rPr>
      </w:pPr>
      <w:r>
        <w:rPr>
          <w:rFonts w:hint="eastAsia"/>
        </w:rPr>
        <w:t>取费项目及工程总价款：</w:t>
      </w:r>
    </w:p>
    <w:tbl>
      <w:tblPr>
        <w:tblStyle w:val="3"/>
        <w:tblW w:w="9659" w:type="dxa"/>
        <w:tblInd w:w="-4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953"/>
        <w:gridCol w:w="3544"/>
        <w:gridCol w:w="1134"/>
        <w:gridCol w:w="1989"/>
        <w:gridCol w:w="1559"/>
      </w:tblGrid>
      <w:tr w14:paraId="0FA7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80" w:type="dxa"/>
            <w:noWrap/>
            <w:vAlign w:val="center"/>
          </w:tcPr>
          <w:p w14:paraId="39B0FAC8">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NO</w:t>
            </w:r>
          </w:p>
        </w:tc>
        <w:tc>
          <w:tcPr>
            <w:tcW w:w="953" w:type="dxa"/>
            <w:noWrap/>
            <w:vAlign w:val="center"/>
          </w:tcPr>
          <w:p w14:paraId="36E0DD0A">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条目</w:t>
            </w:r>
          </w:p>
        </w:tc>
        <w:tc>
          <w:tcPr>
            <w:tcW w:w="3544" w:type="dxa"/>
            <w:noWrap/>
            <w:vAlign w:val="center"/>
          </w:tcPr>
          <w:p w14:paraId="669C3CC7">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工作量</w:t>
            </w:r>
          </w:p>
        </w:tc>
        <w:tc>
          <w:tcPr>
            <w:tcW w:w="1134" w:type="dxa"/>
            <w:noWrap/>
            <w:vAlign w:val="center"/>
          </w:tcPr>
          <w:p w14:paraId="4A00B397">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数量</w:t>
            </w:r>
          </w:p>
        </w:tc>
        <w:tc>
          <w:tcPr>
            <w:tcW w:w="1989" w:type="dxa"/>
            <w:noWrap/>
            <w:vAlign w:val="center"/>
          </w:tcPr>
          <w:p w14:paraId="35BE2DC0">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金额（元）</w:t>
            </w:r>
          </w:p>
        </w:tc>
        <w:tc>
          <w:tcPr>
            <w:tcW w:w="1559" w:type="dxa"/>
            <w:noWrap/>
            <w:vAlign w:val="center"/>
          </w:tcPr>
          <w:p w14:paraId="1A37081E">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备注</w:t>
            </w:r>
          </w:p>
        </w:tc>
      </w:tr>
      <w:tr w14:paraId="5A81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659" w:type="dxa"/>
            <w:gridSpan w:val="6"/>
            <w:noWrap/>
            <w:vAlign w:val="center"/>
          </w:tcPr>
          <w:p w14:paraId="37424806">
            <w:pPr>
              <w:widowControl/>
              <w:adjustRightInd/>
              <w:jc w:val="left"/>
              <w:textAlignment w:val="auto"/>
              <w:rPr>
                <w:rFonts w:hint="eastAsia" w:ascii="宋体" w:hAnsi="宋体" w:cs="宋体"/>
                <w:color w:val="000000"/>
                <w:kern w:val="0"/>
                <w:sz w:val="24"/>
                <w:szCs w:val="24"/>
              </w:rPr>
            </w:pPr>
            <w:r>
              <w:rPr>
                <w:rFonts w:hint="eastAsia"/>
              </w:rPr>
              <w:t>一、温州市中心医院3号楼变形测量</w:t>
            </w:r>
          </w:p>
        </w:tc>
      </w:tr>
      <w:tr w14:paraId="6950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0" w:type="dxa"/>
            <w:vMerge w:val="restart"/>
            <w:noWrap/>
            <w:vAlign w:val="center"/>
          </w:tcPr>
          <w:p w14:paraId="32B34B5C">
            <w:pPr>
              <w:widowControl/>
              <w:adjustRightInd/>
              <w:jc w:val="center"/>
              <w:textAlignment w:val="auto"/>
              <w:rPr>
                <w:rFonts w:ascii="宋体" w:hAnsi="宋体" w:cs="宋体"/>
                <w:color w:val="000000"/>
                <w:kern w:val="0"/>
                <w:sz w:val="20"/>
              </w:rPr>
            </w:pPr>
            <w:r>
              <w:rPr>
                <w:rFonts w:hint="eastAsia" w:ascii="宋体" w:hAnsi="宋体" w:cs="宋体"/>
                <w:color w:val="000000"/>
                <w:kern w:val="0"/>
                <w:sz w:val="20"/>
              </w:rPr>
              <w:t>1</w:t>
            </w:r>
          </w:p>
        </w:tc>
        <w:tc>
          <w:tcPr>
            <w:tcW w:w="953" w:type="dxa"/>
            <w:vMerge w:val="restart"/>
            <w:noWrap w:val="0"/>
            <w:vAlign w:val="center"/>
          </w:tcPr>
          <w:p w14:paraId="27AFB5F3">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变形测量</w:t>
            </w:r>
          </w:p>
        </w:tc>
        <w:tc>
          <w:tcPr>
            <w:tcW w:w="3544" w:type="dxa"/>
            <w:noWrap w:val="0"/>
            <w:vAlign w:val="center"/>
          </w:tcPr>
          <w:p w14:paraId="2B1E44AF">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基准点埋设、引测（一次性成本）</w:t>
            </w:r>
          </w:p>
        </w:tc>
        <w:tc>
          <w:tcPr>
            <w:tcW w:w="1134" w:type="dxa"/>
            <w:noWrap w:val="0"/>
            <w:vAlign w:val="center"/>
          </w:tcPr>
          <w:p w14:paraId="71527AB7">
            <w:pPr>
              <w:widowControl/>
              <w:adjustRightInd/>
              <w:jc w:val="center"/>
              <w:textAlignment w:val="auto"/>
              <w:rPr>
                <w:rFonts w:ascii="宋体" w:hAnsi="宋体" w:cs="宋体"/>
                <w:color w:val="000000"/>
                <w:kern w:val="0"/>
                <w:sz w:val="20"/>
              </w:rPr>
            </w:pPr>
          </w:p>
        </w:tc>
        <w:tc>
          <w:tcPr>
            <w:tcW w:w="1989" w:type="dxa"/>
            <w:noWrap w:val="0"/>
            <w:vAlign w:val="center"/>
          </w:tcPr>
          <w:p w14:paraId="37F7ADB0">
            <w:pPr>
              <w:widowControl/>
              <w:adjustRightInd/>
              <w:jc w:val="center"/>
              <w:textAlignment w:val="auto"/>
              <w:rPr>
                <w:rFonts w:ascii="宋体" w:hAnsi="宋体" w:cs="宋体"/>
                <w:color w:val="000000"/>
                <w:kern w:val="0"/>
                <w:szCs w:val="21"/>
              </w:rPr>
            </w:pPr>
          </w:p>
        </w:tc>
        <w:tc>
          <w:tcPr>
            <w:tcW w:w="1559" w:type="dxa"/>
            <w:noWrap w:val="0"/>
            <w:vAlign w:val="center"/>
          </w:tcPr>
          <w:p w14:paraId="7EC764E8">
            <w:pPr>
              <w:widowControl/>
              <w:adjustRightInd/>
              <w:jc w:val="center"/>
              <w:textAlignment w:val="auto"/>
              <w:rPr>
                <w:rFonts w:ascii="宋体" w:hAnsi="宋体" w:cs="宋体"/>
                <w:color w:val="000000"/>
                <w:kern w:val="0"/>
                <w:szCs w:val="21"/>
              </w:rPr>
            </w:pPr>
          </w:p>
        </w:tc>
      </w:tr>
      <w:tr w14:paraId="3D30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80" w:type="dxa"/>
            <w:vMerge w:val="continue"/>
            <w:noWrap w:val="0"/>
            <w:vAlign w:val="center"/>
          </w:tcPr>
          <w:p w14:paraId="37F6FDDC">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3020AAE0">
            <w:pPr>
              <w:widowControl/>
              <w:adjustRightInd/>
              <w:jc w:val="center"/>
              <w:textAlignment w:val="auto"/>
              <w:rPr>
                <w:rFonts w:ascii="宋体" w:hAnsi="宋体" w:cs="宋体"/>
                <w:color w:val="000000"/>
                <w:kern w:val="0"/>
                <w:szCs w:val="21"/>
              </w:rPr>
            </w:pPr>
          </w:p>
        </w:tc>
        <w:tc>
          <w:tcPr>
            <w:tcW w:w="3544" w:type="dxa"/>
            <w:noWrap w:val="0"/>
            <w:vAlign w:val="center"/>
          </w:tcPr>
          <w:p w14:paraId="6159C02E">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沉降观测点埋设（一次性成本）</w:t>
            </w:r>
          </w:p>
        </w:tc>
        <w:tc>
          <w:tcPr>
            <w:tcW w:w="1134" w:type="dxa"/>
            <w:noWrap w:val="0"/>
            <w:vAlign w:val="center"/>
          </w:tcPr>
          <w:p w14:paraId="35F12B64">
            <w:pPr>
              <w:widowControl/>
              <w:adjustRightInd/>
              <w:jc w:val="center"/>
              <w:textAlignment w:val="auto"/>
              <w:rPr>
                <w:rFonts w:ascii="宋体" w:hAnsi="宋体" w:cs="宋体"/>
                <w:color w:val="000000"/>
                <w:kern w:val="0"/>
                <w:sz w:val="20"/>
              </w:rPr>
            </w:pPr>
          </w:p>
        </w:tc>
        <w:tc>
          <w:tcPr>
            <w:tcW w:w="1989" w:type="dxa"/>
            <w:noWrap w:val="0"/>
            <w:vAlign w:val="center"/>
          </w:tcPr>
          <w:p w14:paraId="2C8338B7">
            <w:pPr>
              <w:widowControl/>
              <w:adjustRightInd/>
              <w:jc w:val="center"/>
              <w:textAlignment w:val="auto"/>
              <w:rPr>
                <w:rFonts w:ascii="宋体" w:hAnsi="宋体" w:cs="宋体"/>
                <w:color w:val="000000"/>
                <w:kern w:val="0"/>
                <w:szCs w:val="21"/>
              </w:rPr>
            </w:pPr>
          </w:p>
        </w:tc>
        <w:tc>
          <w:tcPr>
            <w:tcW w:w="1559" w:type="dxa"/>
            <w:noWrap w:val="0"/>
            <w:vAlign w:val="center"/>
          </w:tcPr>
          <w:p w14:paraId="10017111">
            <w:pPr>
              <w:widowControl/>
              <w:adjustRightInd/>
              <w:jc w:val="center"/>
              <w:textAlignment w:val="auto"/>
              <w:rPr>
                <w:rFonts w:ascii="宋体" w:hAnsi="宋体" w:cs="宋体"/>
                <w:color w:val="000000"/>
                <w:kern w:val="0"/>
                <w:szCs w:val="21"/>
              </w:rPr>
            </w:pPr>
          </w:p>
        </w:tc>
      </w:tr>
      <w:tr w14:paraId="388B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480" w:type="dxa"/>
            <w:vMerge w:val="continue"/>
            <w:noWrap w:val="0"/>
            <w:vAlign w:val="center"/>
          </w:tcPr>
          <w:p w14:paraId="0BB6AD53">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169B55B7">
            <w:pPr>
              <w:widowControl/>
              <w:adjustRightInd/>
              <w:jc w:val="center"/>
              <w:textAlignment w:val="auto"/>
              <w:rPr>
                <w:rFonts w:ascii="宋体" w:hAnsi="宋体" w:cs="宋体"/>
                <w:color w:val="000000"/>
                <w:kern w:val="0"/>
                <w:szCs w:val="21"/>
              </w:rPr>
            </w:pPr>
          </w:p>
        </w:tc>
        <w:tc>
          <w:tcPr>
            <w:tcW w:w="3544" w:type="dxa"/>
            <w:noWrap w:val="0"/>
            <w:vAlign w:val="center"/>
          </w:tcPr>
          <w:p w14:paraId="4C9EBA3A">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w:t>
            </w:r>
          </w:p>
        </w:tc>
        <w:tc>
          <w:tcPr>
            <w:tcW w:w="1134" w:type="dxa"/>
            <w:noWrap w:val="0"/>
            <w:vAlign w:val="center"/>
          </w:tcPr>
          <w:p w14:paraId="25EEB412">
            <w:pPr>
              <w:widowControl/>
              <w:adjustRightInd/>
              <w:jc w:val="center"/>
              <w:textAlignment w:val="auto"/>
              <w:rPr>
                <w:rFonts w:ascii="宋体" w:hAnsi="宋体" w:cs="宋体"/>
                <w:color w:val="000000"/>
                <w:kern w:val="0"/>
                <w:sz w:val="20"/>
              </w:rPr>
            </w:pPr>
          </w:p>
        </w:tc>
        <w:tc>
          <w:tcPr>
            <w:tcW w:w="1989" w:type="dxa"/>
            <w:noWrap w:val="0"/>
            <w:vAlign w:val="center"/>
          </w:tcPr>
          <w:p w14:paraId="7134D053">
            <w:pPr>
              <w:widowControl/>
              <w:adjustRightInd/>
              <w:jc w:val="center"/>
              <w:textAlignment w:val="auto"/>
              <w:rPr>
                <w:rFonts w:ascii="宋体" w:hAnsi="宋体" w:cs="宋体"/>
                <w:color w:val="000000"/>
                <w:kern w:val="0"/>
                <w:szCs w:val="21"/>
              </w:rPr>
            </w:pPr>
          </w:p>
        </w:tc>
        <w:tc>
          <w:tcPr>
            <w:tcW w:w="1559" w:type="dxa"/>
            <w:noWrap w:val="0"/>
            <w:vAlign w:val="center"/>
          </w:tcPr>
          <w:p w14:paraId="0947463B">
            <w:pPr>
              <w:widowControl/>
              <w:adjustRightInd/>
              <w:jc w:val="center"/>
              <w:textAlignment w:val="auto"/>
              <w:rPr>
                <w:rFonts w:ascii="宋体" w:hAnsi="宋体" w:cs="宋体"/>
                <w:color w:val="000000"/>
                <w:kern w:val="0"/>
                <w:szCs w:val="21"/>
              </w:rPr>
            </w:pPr>
          </w:p>
        </w:tc>
      </w:tr>
      <w:tr w14:paraId="747D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80" w:type="dxa"/>
            <w:vMerge w:val="continue"/>
            <w:noWrap w:val="0"/>
            <w:vAlign w:val="center"/>
          </w:tcPr>
          <w:p w14:paraId="126EBF44">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0B1812BB">
            <w:pPr>
              <w:widowControl/>
              <w:adjustRightInd/>
              <w:jc w:val="center"/>
              <w:textAlignment w:val="auto"/>
              <w:rPr>
                <w:rFonts w:ascii="宋体" w:hAnsi="宋体" w:cs="宋体"/>
                <w:color w:val="000000"/>
                <w:kern w:val="0"/>
                <w:szCs w:val="21"/>
              </w:rPr>
            </w:pPr>
          </w:p>
        </w:tc>
        <w:tc>
          <w:tcPr>
            <w:tcW w:w="3544" w:type="dxa"/>
            <w:noWrap w:val="0"/>
            <w:vAlign w:val="center"/>
          </w:tcPr>
          <w:p w14:paraId="5963327C">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倾斜观测</w:t>
            </w:r>
          </w:p>
        </w:tc>
        <w:tc>
          <w:tcPr>
            <w:tcW w:w="1134" w:type="dxa"/>
            <w:noWrap w:val="0"/>
            <w:vAlign w:val="center"/>
          </w:tcPr>
          <w:p w14:paraId="3CD19F6E">
            <w:pPr>
              <w:widowControl/>
              <w:adjustRightInd/>
              <w:jc w:val="center"/>
              <w:textAlignment w:val="auto"/>
              <w:rPr>
                <w:rFonts w:ascii="宋体" w:hAnsi="宋体" w:cs="宋体"/>
                <w:color w:val="000000"/>
                <w:kern w:val="0"/>
                <w:sz w:val="20"/>
              </w:rPr>
            </w:pPr>
          </w:p>
        </w:tc>
        <w:tc>
          <w:tcPr>
            <w:tcW w:w="1989" w:type="dxa"/>
            <w:noWrap w:val="0"/>
            <w:vAlign w:val="center"/>
          </w:tcPr>
          <w:p w14:paraId="19C31BA4">
            <w:pPr>
              <w:widowControl/>
              <w:adjustRightInd/>
              <w:jc w:val="center"/>
              <w:textAlignment w:val="auto"/>
              <w:rPr>
                <w:rFonts w:ascii="宋体" w:hAnsi="宋体" w:cs="宋体"/>
                <w:color w:val="000000"/>
                <w:kern w:val="0"/>
                <w:szCs w:val="21"/>
              </w:rPr>
            </w:pPr>
          </w:p>
        </w:tc>
        <w:tc>
          <w:tcPr>
            <w:tcW w:w="1559" w:type="dxa"/>
            <w:noWrap w:val="0"/>
            <w:vAlign w:val="center"/>
          </w:tcPr>
          <w:p w14:paraId="5C127ECB">
            <w:pPr>
              <w:widowControl/>
              <w:adjustRightInd/>
              <w:jc w:val="center"/>
              <w:textAlignment w:val="auto"/>
              <w:rPr>
                <w:rFonts w:ascii="宋体" w:hAnsi="宋体" w:cs="宋体"/>
                <w:color w:val="000000"/>
                <w:kern w:val="0"/>
                <w:szCs w:val="21"/>
              </w:rPr>
            </w:pPr>
          </w:p>
        </w:tc>
      </w:tr>
      <w:tr w14:paraId="3901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4977" w:type="dxa"/>
            <w:gridSpan w:val="3"/>
            <w:noWrap w:val="0"/>
            <w:vAlign w:val="center"/>
          </w:tcPr>
          <w:p w14:paraId="38CBFFC2">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测量周期</w:t>
            </w:r>
          </w:p>
        </w:tc>
        <w:tc>
          <w:tcPr>
            <w:tcW w:w="4682" w:type="dxa"/>
            <w:gridSpan w:val="3"/>
            <w:noWrap w:val="0"/>
            <w:vAlign w:val="center"/>
          </w:tcPr>
          <w:p w14:paraId="0BFCE4BE">
            <w:pPr>
              <w:widowControl/>
              <w:adjustRightInd/>
              <w:jc w:val="center"/>
              <w:textAlignment w:val="auto"/>
              <w:rPr>
                <w:rFonts w:ascii="宋体" w:hAnsi="宋体" w:cs="宋体"/>
                <w:color w:val="000000"/>
                <w:kern w:val="0"/>
                <w:sz w:val="20"/>
              </w:rPr>
            </w:pPr>
            <w:r>
              <w:rPr>
                <w:rFonts w:hint="eastAsia" w:ascii="宋体" w:hAnsi="宋体" w:cs="宋体"/>
                <w:color w:val="000000"/>
                <w:kern w:val="0"/>
                <w:sz w:val="20"/>
              </w:rPr>
              <w:t>服务期限</w:t>
            </w:r>
            <w:r>
              <w:rPr>
                <w:rFonts w:hint="eastAsia" w:ascii="宋体" w:hAnsi="宋体" w:cs="宋体"/>
                <w:color w:val="auto"/>
                <w:kern w:val="0"/>
                <w:sz w:val="20"/>
              </w:rPr>
              <w:t>：</w:t>
            </w:r>
            <w:r>
              <w:rPr>
                <w:rFonts w:hint="eastAsia" w:ascii="宋体" w:hAnsi="宋体" w:cs="宋体"/>
                <w:color w:val="auto"/>
                <w:kern w:val="0"/>
                <w:sz w:val="20"/>
                <w:lang w:val="en-US" w:eastAsia="zh-CN"/>
              </w:rPr>
              <w:t xml:space="preserve">                                   </w:t>
            </w:r>
            <w:r>
              <w:rPr>
                <w:rFonts w:hint="eastAsia" w:ascii="宋体" w:hAnsi="宋体" w:cs="宋体"/>
                <w:color w:val="auto"/>
                <w:kern w:val="0"/>
                <w:sz w:val="20"/>
              </w:rPr>
              <w:t>观测周期：</w:t>
            </w:r>
          </w:p>
        </w:tc>
      </w:tr>
      <w:tr w14:paraId="4B43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4977" w:type="dxa"/>
            <w:gridSpan w:val="3"/>
            <w:noWrap w:val="0"/>
            <w:vAlign w:val="center"/>
          </w:tcPr>
          <w:p w14:paraId="7FBF2018">
            <w:pPr>
              <w:widowControl/>
              <w:adjustRightInd/>
              <w:jc w:val="center"/>
              <w:textAlignment w:val="auto"/>
              <w:rPr>
                <w:rFonts w:ascii="宋体" w:hAnsi="宋体" w:cs="宋体"/>
                <w:b/>
                <w:color w:val="000000"/>
                <w:kern w:val="0"/>
                <w:szCs w:val="21"/>
              </w:rPr>
            </w:pPr>
            <w:r>
              <w:rPr>
                <w:rFonts w:hint="eastAsia" w:ascii="宋体" w:hAnsi="宋体" w:cs="宋体"/>
                <w:b/>
                <w:color w:val="000000"/>
                <w:kern w:val="0"/>
                <w:szCs w:val="21"/>
              </w:rPr>
              <w:t>暂定</w:t>
            </w:r>
            <w:r>
              <w:rPr>
                <w:rFonts w:hint="eastAsia"/>
                <w:b/>
              </w:rPr>
              <w:t>行政3号楼</w:t>
            </w:r>
            <w:r>
              <w:rPr>
                <w:rFonts w:hint="eastAsia" w:ascii="宋体" w:hAnsi="宋体" w:cs="宋体"/>
                <w:b/>
                <w:color w:val="000000"/>
                <w:kern w:val="0"/>
                <w:szCs w:val="21"/>
              </w:rPr>
              <w:t>观测费用小计：</w:t>
            </w:r>
          </w:p>
        </w:tc>
        <w:tc>
          <w:tcPr>
            <w:tcW w:w="4682" w:type="dxa"/>
            <w:gridSpan w:val="3"/>
            <w:noWrap w:val="0"/>
            <w:vAlign w:val="center"/>
          </w:tcPr>
          <w:p w14:paraId="1A56AF94">
            <w:pPr>
              <w:widowControl/>
              <w:adjustRightInd/>
              <w:jc w:val="center"/>
              <w:textAlignment w:val="auto"/>
              <w:rPr>
                <w:rFonts w:ascii="宋体" w:hAnsi="宋体" w:cs="宋体"/>
                <w:b/>
                <w:bCs/>
                <w:color w:val="000000"/>
                <w:kern w:val="0"/>
                <w:szCs w:val="21"/>
              </w:rPr>
            </w:pPr>
          </w:p>
        </w:tc>
      </w:tr>
      <w:tr w14:paraId="0116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659" w:type="dxa"/>
            <w:gridSpan w:val="6"/>
            <w:noWrap/>
            <w:vAlign w:val="center"/>
          </w:tcPr>
          <w:p w14:paraId="0EC1E00C">
            <w:pPr>
              <w:widowControl/>
              <w:adjustRightInd/>
              <w:jc w:val="left"/>
              <w:textAlignment w:val="auto"/>
              <w:rPr>
                <w:rFonts w:hint="eastAsia" w:ascii="宋体" w:hAnsi="宋体" w:cs="宋体"/>
                <w:color w:val="000000"/>
                <w:kern w:val="0"/>
                <w:sz w:val="24"/>
                <w:szCs w:val="24"/>
              </w:rPr>
            </w:pPr>
            <w:r>
              <w:rPr>
                <w:rFonts w:hint="eastAsia"/>
              </w:rPr>
              <w:t>二、温州市中心医院1号楼变形测量</w:t>
            </w:r>
          </w:p>
        </w:tc>
      </w:tr>
      <w:tr w14:paraId="40F6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0" w:type="dxa"/>
            <w:vMerge w:val="restart"/>
            <w:noWrap/>
            <w:vAlign w:val="center"/>
          </w:tcPr>
          <w:p w14:paraId="1DFCA311">
            <w:pPr>
              <w:widowControl/>
              <w:adjustRightInd/>
              <w:jc w:val="center"/>
              <w:textAlignment w:val="auto"/>
              <w:rPr>
                <w:rFonts w:ascii="宋体" w:hAnsi="宋体" w:cs="宋体"/>
                <w:color w:val="000000"/>
                <w:kern w:val="0"/>
                <w:sz w:val="20"/>
              </w:rPr>
            </w:pPr>
            <w:r>
              <w:rPr>
                <w:rFonts w:hint="eastAsia" w:ascii="宋体" w:hAnsi="宋体" w:cs="宋体"/>
                <w:color w:val="000000"/>
                <w:kern w:val="0"/>
                <w:sz w:val="20"/>
              </w:rPr>
              <w:t>1</w:t>
            </w:r>
          </w:p>
        </w:tc>
        <w:tc>
          <w:tcPr>
            <w:tcW w:w="953" w:type="dxa"/>
            <w:vMerge w:val="restart"/>
            <w:noWrap w:val="0"/>
            <w:vAlign w:val="center"/>
          </w:tcPr>
          <w:p w14:paraId="26A4FE95">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变形测量</w:t>
            </w:r>
          </w:p>
        </w:tc>
        <w:tc>
          <w:tcPr>
            <w:tcW w:w="3544" w:type="dxa"/>
            <w:noWrap w:val="0"/>
            <w:vAlign w:val="center"/>
          </w:tcPr>
          <w:p w14:paraId="6C4584A4">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基准点埋设、引测（一次性成本）</w:t>
            </w:r>
          </w:p>
        </w:tc>
        <w:tc>
          <w:tcPr>
            <w:tcW w:w="1134" w:type="dxa"/>
            <w:noWrap w:val="0"/>
            <w:vAlign w:val="center"/>
          </w:tcPr>
          <w:p w14:paraId="0887B2DA">
            <w:pPr>
              <w:widowControl/>
              <w:adjustRightInd/>
              <w:jc w:val="center"/>
              <w:textAlignment w:val="auto"/>
              <w:rPr>
                <w:rFonts w:ascii="宋体" w:hAnsi="宋体" w:cs="宋体"/>
                <w:color w:val="000000"/>
                <w:kern w:val="0"/>
                <w:sz w:val="20"/>
              </w:rPr>
            </w:pPr>
          </w:p>
        </w:tc>
        <w:tc>
          <w:tcPr>
            <w:tcW w:w="1989" w:type="dxa"/>
            <w:noWrap w:val="0"/>
            <w:vAlign w:val="center"/>
          </w:tcPr>
          <w:p w14:paraId="032A2F13">
            <w:pPr>
              <w:widowControl/>
              <w:adjustRightInd/>
              <w:jc w:val="center"/>
              <w:textAlignment w:val="auto"/>
              <w:rPr>
                <w:rFonts w:ascii="宋体" w:hAnsi="宋体" w:cs="宋体"/>
                <w:color w:val="000000"/>
                <w:kern w:val="0"/>
                <w:szCs w:val="21"/>
              </w:rPr>
            </w:pPr>
          </w:p>
        </w:tc>
        <w:tc>
          <w:tcPr>
            <w:tcW w:w="1559" w:type="dxa"/>
            <w:noWrap w:val="0"/>
            <w:vAlign w:val="center"/>
          </w:tcPr>
          <w:p w14:paraId="1320719A">
            <w:pPr>
              <w:widowControl/>
              <w:adjustRightInd/>
              <w:jc w:val="center"/>
              <w:textAlignment w:val="auto"/>
              <w:rPr>
                <w:rFonts w:ascii="宋体" w:hAnsi="宋体" w:cs="宋体"/>
                <w:color w:val="000000"/>
                <w:kern w:val="0"/>
                <w:szCs w:val="21"/>
              </w:rPr>
            </w:pPr>
          </w:p>
        </w:tc>
      </w:tr>
      <w:tr w14:paraId="1702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80" w:type="dxa"/>
            <w:vMerge w:val="continue"/>
            <w:noWrap w:val="0"/>
            <w:vAlign w:val="center"/>
          </w:tcPr>
          <w:p w14:paraId="76FE180C">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39ED801C">
            <w:pPr>
              <w:widowControl/>
              <w:adjustRightInd/>
              <w:jc w:val="center"/>
              <w:textAlignment w:val="auto"/>
              <w:rPr>
                <w:rFonts w:ascii="宋体" w:hAnsi="宋体" w:cs="宋体"/>
                <w:color w:val="000000"/>
                <w:kern w:val="0"/>
                <w:szCs w:val="21"/>
              </w:rPr>
            </w:pPr>
          </w:p>
        </w:tc>
        <w:tc>
          <w:tcPr>
            <w:tcW w:w="3544" w:type="dxa"/>
            <w:noWrap w:val="0"/>
            <w:vAlign w:val="center"/>
          </w:tcPr>
          <w:p w14:paraId="15A2958F">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沉降观测点埋设（一次性成本）</w:t>
            </w:r>
          </w:p>
        </w:tc>
        <w:tc>
          <w:tcPr>
            <w:tcW w:w="1134" w:type="dxa"/>
            <w:noWrap w:val="0"/>
            <w:vAlign w:val="center"/>
          </w:tcPr>
          <w:p w14:paraId="4EBB16DF">
            <w:pPr>
              <w:widowControl/>
              <w:adjustRightInd/>
              <w:jc w:val="center"/>
              <w:textAlignment w:val="auto"/>
              <w:rPr>
                <w:rFonts w:ascii="宋体" w:hAnsi="宋体" w:cs="宋体"/>
                <w:color w:val="000000"/>
                <w:kern w:val="0"/>
                <w:sz w:val="20"/>
              </w:rPr>
            </w:pPr>
          </w:p>
        </w:tc>
        <w:tc>
          <w:tcPr>
            <w:tcW w:w="1989" w:type="dxa"/>
            <w:noWrap w:val="0"/>
            <w:vAlign w:val="center"/>
          </w:tcPr>
          <w:p w14:paraId="663C47A4">
            <w:pPr>
              <w:widowControl/>
              <w:adjustRightInd/>
              <w:jc w:val="center"/>
              <w:textAlignment w:val="auto"/>
              <w:rPr>
                <w:rFonts w:ascii="宋体" w:hAnsi="宋体" w:cs="宋体"/>
                <w:color w:val="000000"/>
                <w:kern w:val="0"/>
                <w:szCs w:val="21"/>
              </w:rPr>
            </w:pPr>
          </w:p>
        </w:tc>
        <w:tc>
          <w:tcPr>
            <w:tcW w:w="1559" w:type="dxa"/>
            <w:noWrap w:val="0"/>
            <w:vAlign w:val="center"/>
          </w:tcPr>
          <w:p w14:paraId="6D4912DB">
            <w:pPr>
              <w:widowControl/>
              <w:adjustRightInd/>
              <w:jc w:val="center"/>
              <w:textAlignment w:val="auto"/>
              <w:rPr>
                <w:rFonts w:ascii="宋体" w:hAnsi="宋体" w:cs="宋体"/>
                <w:color w:val="000000"/>
                <w:kern w:val="0"/>
                <w:szCs w:val="21"/>
              </w:rPr>
            </w:pPr>
          </w:p>
        </w:tc>
      </w:tr>
      <w:tr w14:paraId="5CF7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480" w:type="dxa"/>
            <w:vMerge w:val="continue"/>
            <w:noWrap w:val="0"/>
            <w:vAlign w:val="center"/>
          </w:tcPr>
          <w:p w14:paraId="13B26A8D">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487AC3B0">
            <w:pPr>
              <w:widowControl/>
              <w:adjustRightInd/>
              <w:jc w:val="center"/>
              <w:textAlignment w:val="auto"/>
              <w:rPr>
                <w:rFonts w:ascii="宋体" w:hAnsi="宋体" w:cs="宋体"/>
                <w:color w:val="000000"/>
                <w:kern w:val="0"/>
                <w:szCs w:val="21"/>
              </w:rPr>
            </w:pPr>
          </w:p>
        </w:tc>
        <w:tc>
          <w:tcPr>
            <w:tcW w:w="3544" w:type="dxa"/>
            <w:noWrap w:val="0"/>
            <w:vAlign w:val="center"/>
          </w:tcPr>
          <w:p w14:paraId="7542E2CA">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w:t>
            </w:r>
          </w:p>
        </w:tc>
        <w:tc>
          <w:tcPr>
            <w:tcW w:w="1134" w:type="dxa"/>
            <w:noWrap w:val="0"/>
            <w:vAlign w:val="center"/>
          </w:tcPr>
          <w:p w14:paraId="4F491469">
            <w:pPr>
              <w:widowControl/>
              <w:adjustRightInd/>
              <w:jc w:val="center"/>
              <w:textAlignment w:val="auto"/>
              <w:rPr>
                <w:rFonts w:ascii="宋体" w:hAnsi="宋体" w:cs="宋体"/>
                <w:color w:val="000000"/>
                <w:kern w:val="0"/>
                <w:sz w:val="20"/>
              </w:rPr>
            </w:pPr>
          </w:p>
        </w:tc>
        <w:tc>
          <w:tcPr>
            <w:tcW w:w="1989" w:type="dxa"/>
            <w:noWrap w:val="0"/>
            <w:vAlign w:val="center"/>
          </w:tcPr>
          <w:p w14:paraId="5278F8C7">
            <w:pPr>
              <w:widowControl/>
              <w:adjustRightInd/>
              <w:jc w:val="center"/>
              <w:textAlignment w:val="auto"/>
              <w:rPr>
                <w:rFonts w:ascii="宋体" w:hAnsi="宋体" w:cs="宋体"/>
                <w:color w:val="000000"/>
                <w:kern w:val="0"/>
                <w:szCs w:val="21"/>
              </w:rPr>
            </w:pPr>
          </w:p>
        </w:tc>
        <w:tc>
          <w:tcPr>
            <w:tcW w:w="1559" w:type="dxa"/>
            <w:noWrap w:val="0"/>
            <w:vAlign w:val="center"/>
          </w:tcPr>
          <w:p w14:paraId="0ED83570">
            <w:pPr>
              <w:widowControl/>
              <w:adjustRightInd/>
              <w:jc w:val="center"/>
              <w:textAlignment w:val="auto"/>
              <w:rPr>
                <w:rFonts w:ascii="宋体" w:hAnsi="宋体" w:cs="宋体"/>
                <w:color w:val="000000"/>
                <w:kern w:val="0"/>
                <w:szCs w:val="21"/>
              </w:rPr>
            </w:pPr>
          </w:p>
        </w:tc>
      </w:tr>
      <w:tr w14:paraId="533E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80" w:type="dxa"/>
            <w:vMerge w:val="continue"/>
            <w:noWrap w:val="0"/>
            <w:vAlign w:val="center"/>
          </w:tcPr>
          <w:p w14:paraId="1BE1C94D">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666F291A">
            <w:pPr>
              <w:widowControl/>
              <w:adjustRightInd/>
              <w:jc w:val="center"/>
              <w:textAlignment w:val="auto"/>
              <w:rPr>
                <w:rFonts w:ascii="宋体" w:hAnsi="宋体" w:cs="宋体"/>
                <w:color w:val="000000"/>
                <w:kern w:val="0"/>
                <w:szCs w:val="21"/>
              </w:rPr>
            </w:pPr>
          </w:p>
        </w:tc>
        <w:tc>
          <w:tcPr>
            <w:tcW w:w="3544" w:type="dxa"/>
            <w:noWrap w:val="0"/>
            <w:vAlign w:val="center"/>
          </w:tcPr>
          <w:p w14:paraId="630EF90E">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倾斜观测</w:t>
            </w:r>
          </w:p>
        </w:tc>
        <w:tc>
          <w:tcPr>
            <w:tcW w:w="1134" w:type="dxa"/>
            <w:noWrap w:val="0"/>
            <w:vAlign w:val="center"/>
          </w:tcPr>
          <w:p w14:paraId="5C67F90B">
            <w:pPr>
              <w:widowControl/>
              <w:adjustRightInd/>
              <w:jc w:val="center"/>
              <w:textAlignment w:val="auto"/>
              <w:rPr>
                <w:rFonts w:ascii="宋体" w:hAnsi="宋体" w:cs="宋体"/>
                <w:color w:val="000000"/>
                <w:kern w:val="0"/>
                <w:sz w:val="20"/>
              </w:rPr>
            </w:pPr>
          </w:p>
        </w:tc>
        <w:tc>
          <w:tcPr>
            <w:tcW w:w="1989" w:type="dxa"/>
            <w:noWrap w:val="0"/>
            <w:vAlign w:val="center"/>
          </w:tcPr>
          <w:p w14:paraId="4586AE5F">
            <w:pPr>
              <w:widowControl/>
              <w:adjustRightInd/>
              <w:jc w:val="center"/>
              <w:textAlignment w:val="auto"/>
              <w:rPr>
                <w:rFonts w:ascii="宋体" w:hAnsi="宋体" w:cs="宋体"/>
                <w:color w:val="000000"/>
                <w:kern w:val="0"/>
                <w:szCs w:val="21"/>
              </w:rPr>
            </w:pPr>
          </w:p>
        </w:tc>
        <w:tc>
          <w:tcPr>
            <w:tcW w:w="1559" w:type="dxa"/>
            <w:noWrap w:val="0"/>
            <w:vAlign w:val="center"/>
          </w:tcPr>
          <w:p w14:paraId="15AAD808">
            <w:pPr>
              <w:widowControl/>
              <w:adjustRightInd/>
              <w:jc w:val="center"/>
              <w:textAlignment w:val="auto"/>
              <w:rPr>
                <w:rFonts w:ascii="宋体" w:hAnsi="宋体" w:cs="宋体"/>
                <w:color w:val="000000"/>
                <w:kern w:val="0"/>
                <w:szCs w:val="21"/>
              </w:rPr>
            </w:pPr>
          </w:p>
        </w:tc>
      </w:tr>
      <w:tr w14:paraId="3C34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4977" w:type="dxa"/>
            <w:gridSpan w:val="3"/>
            <w:noWrap w:val="0"/>
            <w:vAlign w:val="center"/>
          </w:tcPr>
          <w:p w14:paraId="64354BD7">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测量周期</w:t>
            </w:r>
          </w:p>
        </w:tc>
        <w:tc>
          <w:tcPr>
            <w:tcW w:w="4682" w:type="dxa"/>
            <w:gridSpan w:val="3"/>
            <w:noWrap w:val="0"/>
            <w:vAlign w:val="center"/>
          </w:tcPr>
          <w:p w14:paraId="707114DD">
            <w:pPr>
              <w:widowControl/>
              <w:adjustRightInd/>
              <w:jc w:val="center"/>
              <w:textAlignment w:val="auto"/>
              <w:rPr>
                <w:rFonts w:ascii="宋体" w:hAnsi="宋体" w:cs="宋体"/>
                <w:color w:val="000000"/>
                <w:kern w:val="0"/>
                <w:sz w:val="20"/>
              </w:rPr>
            </w:pPr>
            <w:r>
              <w:rPr>
                <w:rFonts w:hint="eastAsia" w:ascii="宋体" w:hAnsi="宋体" w:cs="宋体"/>
                <w:color w:val="000000"/>
                <w:kern w:val="0"/>
                <w:sz w:val="20"/>
              </w:rPr>
              <w:t>服务期限</w:t>
            </w:r>
            <w:r>
              <w:rPr>
                <w:rFonts w:hint="eastAsia" w:ascii="宋体" w:hAnsi="宋体" w:cs="宋体"/>
                <w:color w:val="auto"/>
                <w:kern w:val="0"/>
                <w:sz w:val="20"/>
              </w:rPr>
              <w:t>：</w:t>
            </w:r>
            <w:r>
              <w:rPr>
                <w:rFonts w:hint="eastAsia" w:ascii="宋体" w:hAnsi="宋体" w:cs="宋体"/>
                <w:color w:val="auto"/>
                <w:kern w:val="0"/>
                <w:sz w:val="20"/>
                <w:lang w:val="en-US" w:eastAsia="zh-CN"/>
              </w:rPr>
              <w:t xml:space="preserve">                                   </w:t>
            </w:r>
            <w:r>
              <w:rPr>
                <w:rFonts w:hint="eastAsia" w:ascii="宋体" w:hAnsi="宋体" w:cs="宋体"/>
                <w:color w:val="auto"/>
                <w:kern w:val="0"/>
                <w:sz w:val="20"/>
              </w:rPr>
              <w:t>观测周期：</w:t>
            </w:r>
          </w:p>
        </w:tc>
      </w:tr>
      <w:tr w14:paraId="691F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77" w:type="dxa"/>
            <w:gridSpan w:val="3"/>
            <w:noWrap w:val="0"/>
            <w:vAlign w:val="center"/>
          </w:tcPr>
          <w:p w14:paraId="79404671">
            <w:pPr>
              <w:widowControl/>
              <w:adjustRightInd/>
              <w:jc w:val="center"/>
              <w:textAlignment w:val="auto"/>
              <w:rPr>
                <w:rFonts w:ascii="宋体" w:hAnsi="宋体" w:cs="宋体"/>
                <w:b/>
                <w:color w:val="000000"/>
                <w:kern w:val="0"/>
                <w:szCs w:val="21"/>
              </w:rPr>
            </w:pPr>
            <w:r>
              <w:rPr>
                <w:rFonts w:hint="eastAsia" w:ascii="宋体" w:hAnsi="宋体" w:cs="宋体"/>
                <w:b/>
                <w:color w:val="000000"/>
                <w:kern w:val="0"/>
                <w:szCs w:val="21"/>
              </w:rPr>
              <w:t>暂定</w:t>
            </w:r>
            <w:r>
              <w:rPr>
                <w:rFonts w:hint="eastAsia"/>
                <w:b/>
              </w:rPr>
              <w:t>1号楼</w:t>
            </w:r>
            <w:r>
              <w:rPr>
                <w:rFonts w:hint="eastAsia" w:ascii="宋体" w:hAnsi="宋体" w:cs="宋体"/>
                <w:b/>
                <w:color w:val="000000"/>
                <w:kern w:val="0"/>
                <w:szCs w:val="21"/>
              </w:rPr>
              <w:t>观测费用小计：</w:t>
            </w:r>
          </w:p>
        </w:tc>
        <w:tc>
          <w:tcPr>
            <w:tcW w:w="4682" w:type="dxa"/>
            <w:gridSpan w:val="3"/>
            <w:noWrap w:val="0"/>
            <w:vAlign w:val="center"/>
          </w:tcPr>
          <w:p w14:paraId="1DD7D96F">
            <w:pPr>
              <w:widowControl/>
              <w:adjustRightInd/>
              <w:jc w:val="center"/>
              <w:textAlignment w:val="auto"/>
              <w:rPr>
                <w:rFonts w:ascii="宋体" w:hAnsi="宋体" w:cs="宋体"/>
                <w:b/>
                <w:bCs/>
                <w:color w:val="000000"/>
                <w:kern w:val="0"/>
                <w:szCs w:val="21"/>
              </w:rPr>
            </w:pPr>
          </w:p>
        </w:tc>
      </w:tr>
      <w:tr w14:paraId="70CC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659" w:type="dxa"/>
            <w:gridSpan w:val="6"/>
            <w:noWrap w:val="0"/>
            <w:vAlign w:val="center"/>
          </w:tcPr>
          <w:p w14:paraId="46630744">
            <w:r>
              <w:rPr>
                <w:rFonts w:hint="eastAsia" w:ascii="宋体" w:hAnsi="宋体" w:cs="宋体"/>
                <w:b/>
                <w:bCs/>
                <w:color w:val="000000"/>
                <w:kern w:val="0"/>
                <w:szCs w:val="21"/>
              </w:rPr>
              <w:t>最终费用合计：</w:t>
            </w:r>
          </w:p>
          <w:p w14:paraId="62C3063D">
            <w:pPr>
              <w:widowControl/>
              <w:adjustRightInd/>
              <w:jc w:val="center"/>
              <w:textAlignment w:val="auto"/>
              <w:rPr>
                <w:rFonts w:hint="eastAsia" w:ascii="宋体" w:hAnsi="宋体" w:cs="宋体"/>
                <w:b/>
                <w:bCs/>
                <w:color w:val="000000"/>
                <w:kern w:val="0"/>
                <w:szCs w:val="21"/>
              </w:rPr>
            </w:pPr>
          </w:p>
        </w:tc>
      </w:tr>
    </w:tbl>
    <w:p w14:paraId="2E742425">
      <w:pPr>
        <w:pStyle w:val="5"/>
        <w:spacing w:line="360" w:lineRule="auto"/>
      </w:pPr>
      <w:r>
        <w:rPr>
          <w:rFonts w:hint="eastAsia"/>
        </w:rPr>
        <w:t xml:space="preserve">  第五条</w:t>
      </w:r>
      <w:r>
        <w:t xml:space="preserve">  </w:t>
      </w:r>
      <w:r>
        <w:rPr>
          <w:rFonts w:hint="eastAsia"/>
        </w:rPr>
        <w:t>甲方的义务</w:t>
      </w:r>
    </w:p>
    <w:p w14:paraId="4769EFB2">
      <w:pPr>
        <w:pStyle w:val="5"/>
        <w:spacing w:line="360" w:lineRule="auto"/>
        <w:ind w:firstLine="420" w:firstLineChars="200"/>
        <w:rPr>
          <w:rFonts w:hint="eastAsia"/>
        </w:rPr>
      </w:pPr>
      <w:r>
        <w:rPr>
          <w:rFonts w:hint="eastAsia"/>
        </w:rPr>
        <w:t>1、自本合同签订之日起3日内向乙方提供完成本合同约定的内容所需的资料。</w:t>
      </w:r>
    </w:p>
    <w:p w14:paraId="5F318F7F">
      <w:pPr>
        <w:pStyle w:val="5"/>
        <w:spacing w:line="360" w:lineRule="auto"/>
        <w:ind w:firstLine="420" w:firstLineChars="200"/>
        <w:rPr>
          <w:rFonts w:hint="eastAsia"/>
        </w:rPr>
      </w:pPr>
      <w:r>
        <w:rPr>
          <w:rFonts w:hint="eastAsia"/>
        </w:rPr>
        <w:t>2、应当负责保证乙方的测绘队伍顺利进入现场工作，并对乙方进场人员的工作提供必要的协助。</w:t>
      </w:r>
    </w:p>
    <w:p w14:paraId="2058D9BC">
      <w:pPr>
        <w:pStyle w:val="5"/>
        <w:spacing w:line="360" w:lineRule="auto"/>
        <w:ind w:firstLine="420" w:firstLineChars="200"/>
        <w:rPr>
          <w:rFonts w:hint="eastAsia"/>
        </w:rPr>
      </w:pPr>
      <w:r>
        <w:rPr>
          <w:rFonts w:hint="eastAsia"/>
        </w:rPr>
        <w:t>3、甲方按合同约定准时、足额支付工程款，以保证工程的顺利进行。</w:t>
      </w:r>
    </w:p>
    <w:p w14:paraId="69C7E26B">
      <w:pPr>
        <w:pStyle w:val="5"/>
        <w:spacing w:line="360" w:lineRule="auto"/>
        <w:ind w:firstLine="420" w:firstLineChars="200"/>
        <w:rPr>
          <w:rFonts w:hint="eastAsia"/>
        </w:rPr>
      </w:pPr>
      <w:r>
        <w:rPr>
          <w:rFonts w:hint="eastAsia"/>
        </w:rPr>
        <w:t>4、允许乙方内部使用执行本合同所生产的测绘成果。</w:t>
      </w:r>
    </w:p>
    <w:p w14:paraId="53ABF32C">
      <w:pPr>
        <w:pStyle w:val="5"/>
        <w:spacing w:line="360" w:lineRule="auto"/>
        <w:ind w:firstLine="420" w:firstLineChars="200"/>
        <w:rPr>
          <w:rFonts w:hint="eastAsia"/>
        </w:rPr>
      </w:pPr>
      <w:r>
        <w:rPr>
          <w:rFonts w:hint="eastAsia"/>
        </w:rPr>
        <w:t>5、甲方授权【</w:t>
      </w:r>
      <w:r>
        <w:rPr>
          <w:rFonts w:hint="eastAsia"/>
          <w:lang w:val="en-US" w:eastAsia="zh-CN"/>
        </w:rPr>
        <w:t xml:space="preserve">    </w:t>
      </w:r>
      <w:r>
        <w:rPr>
          <w:rFonts w:hint="eastAsia"/>
        </w:rPr>
        <w:t>】（手机号码为：【</w:t>
      </w:r>
      <w:r>
        <w:rPr>
          <w:rFonts w:hint="eastAsia"/>
          <w:lang w:val="en-US" w:eastAsia="zh-CN"/>
        </w:rPr>
        <w:t xml:space="preserve">    </w:t>
      </w:r>
      <w:r>
        <w:rPr>
          <w:rFonts w:hint="eastAsia"/>
        </w:rPr>
        <w:t>】）作为具体经办人员代表甲方有权在本协议履行过程中签署相关事务性文件、处理相关具体性事务，包括但不限于：</w:t>
      </w:r>
    </w:p>
    <w:p w14:paraId="4E672D38">
      <w:pPr>
        <w:pStyle w:val="5"/>
        <w:spacing w:line="360" w:lineRule="auto"/>
        <w:ind w:firstLine="425"/>
        <w:rPr>
          <w:rFonts w:hint="eastAsia"/>
        </w:rPr>
      </w:pPr>
      <w:r>
        <w:rPr>
          <w:rFonts w:hint="eastAsia"/>
        </w:rPr>
        <w:t>（1）签字确认工作成果；</w:t>
      </w:r>
    </w:p>
    <w:p w14:paraId="6DB7042E">
      <w:pPr>
        <w:pStyle w:val="5"/>
        <w:spacing w:line="360" w:lineRule="auto"/>
        <w:ind w:firstLine="425"/>
        <w:rPr>
          <w:rFonts w:hint="eastAsia"/>
        </w:rPr>
      </w:pPr>
      <w:r>
        <w:rPr>
          <w:rFonts w:hint="eastAsia"/>
        </w:rPr>
        <w:t>（2）提交相应申请/申报文件；</w:t>
      </w:r>
    </w:p>
    <w:p w14:paraId="7C63C1D5">
      <w:pPr>
        <w:pStyle w:val="5"/>
        <w:spacing w:line="360" w:lineRule="auto"/>
        <w:ind w:firstLine="425"/>
        <w:rPr>
          <w:rFonts w:hint="eastAsia"/>
        </w:rPr>
      </w:pPr>
      <w:r>
        <w:rPr>
          <w:rFonts w:hint="eastAsia"/>
        </w:rPr>
        <w:t>（3）发出相关通知、请求等。</w:t>
      </w:r>
    </w:p>
    <w:p w14:paraId="2FF42FFD">
      <w:pPr>
        <w:pStyle w:val="5"/>
        <w:spacing w:line="360" w:lineRule="auto"/>
      </w:pPr>
      <w:r>
        <w:t xml:space="preserve">   </w:t>
      </w:r>
      <w:r>
        <w:rPr>
          <w:rFonts w:hint="eastAsia"/>
        </w:rPr>
        <w:t>第六条</w:t>
      </w:r>
      <w:r>
        <w:t xml:space="preserve">  </w:t>
      </w:r>
      <w:r>
        <w:rPr>
          <w:rFonts w:hint="eastAsia"/>
        </w:rPr>
        <w:t>乙方的义务</w:t>
      </w:r>
    </w:p>
    <w:p w14:paraId="5E8C3642">
      <w:pPr>
        <w:pStyle w:val="5"/>
        <w:spacing w:line="360" w:lineRule="auto"/>
      </w:pPr>
      <w:r>
        <w:t xml:space="preserve">    </w:t>
      </w:r>
      <w:r>
        <w:rPr>
          <w:rFonts w:hint="eastAsia"/>
        </w:rPr>
        <w:t>1、自收到甲方的完整资料之日起3日内组织测绘队伍进场作业。</w:t>
      </w:r>
    </w:p>
    <w:p w14:paraId="0BE4D5EE">
      <w:pPr>
        <w:pStyle w:val="5"/>
        <w:spacing w:line="360" w:lineRule="auto"/>
        <w:ind w:firstLine="420"/>
        <w:rPr>
          <w:rFonts w:hint="eastAsia"/>
        </w:rPr>
      </w:pPr>
      <w:r>
        <w:rPr>
          <w:rFonts w:hint="eastAsia"/>
        </w:rPr>
        <w:t>2、乙方应当根据技术要求按合同工期确保测绘项目完成。</w:t>
      </w:r>
    </w:p>
    <w:p w14:paraId="348D7F65">
      <w:pPr>
        <w:pStyle w:val="5"/>
        <w:spacing w:line="360" w:lineRule="auto"/>
        <w:ind w:firstLine="420" w:firstLineChars="200"/>
        <w:rPr>
          <w:rFonts w:hint="eastAsia"/>
        </w:rPr>
      </w:pPr>
      <w:r>
        <w:rPr>
          <w:rFonts w:hint="eastAsia"/>
        </w:rPr>
        <w:t>3、允许甲方内部使用乙方为执行本合同所提供的属乙方所有的测绘成果。</w:t>
      </w:r>
    </w:p>
    <w:p w14:paraId="1B16CC57">
      <w:pPr>
        <w:pStyle w:val="5"/>
        <w:spacing w:line="360" w:lineRule="auto"/>
        <w:ind w:firstLine="420" w:firstLineChars="200"/>
        <w:rPr>
          <w:rFonts w:hint="eastAsia" w:hAnsi="Courier New" w:eastAsia="宋体" w:cs="Times New Roman"/>
          <w:highlight w:val="none"/>
          <w:lang w:val="en-US" w:eastAsia="zh-CN"/>
        </w:rPr>
      </w:pPr>
      <w:r>
        <w:rPr>
          <w:rFonts w:hint="eastAsia" w:hAnsi="Courier New" w:eastAsia="宋体" w:cs="Times New Roman"/>
          <w:highlight w:val="none"/>
          <w:lang w:val="en-US" w:eastAsia="zh-CN"/>
        </w:rPr>
        <w:t>4、乙方测绘期间如发现数据发生突变等存在房屋安全使用的显性隐患，应及时通知提醒甲方并给出建议。</w:t>
      </w:r>
    </w:p>
    <w:p w14:paraId="0A15B1C8">
      <w:pPr>
        <w:pStyle w:val="5"/>
        <w:rPr>
          <w:rFonts w:hint="eastAsia"/>
        </w:rPr>
      </w:pPr>
      <w:r>
        <w:t xml:space="preserve">    </w:t>
      </w:r>
      <w:r>
        <w:rPr>
          <w:rFonts w:hint="eastAsia"/>
        </w:rPr>
        <w:t xml:space="preserve">  第七条</w:t>
      </w:r>
      <w:r>
        <w:t xml:space="preserve">  </w:t>
      </w:r>
      <w:r>
        <w:rPr>
          <w:rFonts w:hint="eastAsia"/>
        </w:rPr>
        <w:t>测绘项目完成工期</w:t>
      </w:r>
    </w:p>
    <w:tbl>
      <w:tblPr>
        <w:tblStyle w:val="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89"/>
        <w:gridCol w:w="4281"/>
        <w:gridCol w:w="2385"/>
        <w:gridCol w:w="1017"/>
      </w:tblGrid>
      <w:tr w14:paraId="38BAE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89" w:type="dxa"/>
            <w:noWrap w:val="0"/>
            <w:vAlign w:val="center"/>
          </w:tcPr>
          <w:p w14:paraId="34190DCA">
            <w:pPr>
              <w:pStyle w:val="5"/>
              <w:jc w:val="center"/>
            </w:pPr>
            <w:r>
              <w:rPr>
                <w:rFonts w:hint="eastAsia"/>
              </w:rPr>
              <w:t>序号</w:t>
            </w:r>
          </w:p>
        </w:tc>
        <w:tc>
          <w:tcPr>
            <w:tcW w:w="4281" w:type="dxa"/>
            <w:noWrap w:val="0"/>
            <w:vAlign w:val="center"/>
          </w:tcPr>
          <w:p w14:paraId="6F6A638E">
            <w:pPr>
              <w:pStyle w:val="5"/>
              <w:jc w:val="center"/>
            </w:pPr>
            <w:r>
              <w:rPr>
                <w:rFonts w:hint="eastAsia"/>
              </w:rPr>
              <w:t>测</w:t>
            </w:r>
            <w:r>
              <w:t xml:space="preserve">  </w:t>
            </w:r>
            <w:r>
              <w:rPr>
                <w:rFonts w:hint="eastAsia"/>
              </w:rPr>
              <w:t>绘</w:t>
            </w:r>
            <w:r>
              <w:t xml:space="preserve">  </w:t>
            </w:r>
            <w:r>
              <w:rPr>
                <w:rFonts w:hint="eastAsia"/>
              </w:rPr>
              <w:t>项</w:t>
            </w:r>
            <w:r>
              <w:t xml:space="preserve">  </w:t>
            </w:r>
            <w:r>
              <w:rPr>
                <w:rFonts w:hint="eastAsia"/>
              </w:rPr>
              <w:t>目</w:t>
            </w:r>
          </w:p>
        </w:tc>
        <w:tc>
          <w:tcPr>
            <w:tcW w:w="2385" w:type="dxa"/>
            <w:noWrap w:val="0"/>
            <w:vAlign w:val="center"/>
          </w:tcPr>
          <w:p w14:paraId="2D9EBBF5">
            <w:pPr>
              <w:pStyle w:val="5"/>
              <w:jc w:val="center"/>
            </w:pPr>
            <w:r>
              <w:rPr>
                <w:rFonts w:hint="eastAsia"/>
              </w:rPr>
              <w:t>完成时间</w:t>
            </w:r>
          </w:p>
        </w:tc>
        <w:tc>
          <w:tcPr>
            <w:tcW w:w="1017" w:type="dxa"/>
            <w:noWrap w:val="0"/>
            <w:vAlign w:val="center"/>
          </w:tcPr>
          <w:p w14:paraId="5C4F043E">
            <w:pPr>
              <w:pStyle w:val="5"/>
              <w:jc w:val="center"/>
            </w:pPr>
            <w:r>
              <w:rPr>
                <w:rFonts w:hint="eastAsia"/>
              </w:rPr>
              <w:t>备</w:t>
            </w:r>
            <w:r>
              <w:t xml:space="preserve">    </w:t>
            </w:r>
            <w:r>
              <w:rPr>
                <w:rFonts w:hint="eastAsia"/>
              </w:rPr>
              <w:t>注</w:t>
            </w:r>
          </w:p>
        </w:tc>
      </w:tr>
      <w:tr w14:paraId="15D00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11" w:hRule="atLeast"/>
        </w:trPr>
        <w:tc>
          <w:tcPr>
            <w:tcW w:w="789" w:type="dxa"/>
            <w:noWrap w:val="0"/>
            <w:vAlign w:val="center"/>
          </w:tcPr>
          <w:p w14:paraId="22EEF50C">
            <w:pPr>
              <w:pStyle w:val="5"/>
              <w:jc w:val="center"/>
              <w:rPr>
                <w:rFonts w:hint="eastAsia"/>
              </w:rPr>
            </w:pPr>
            <w:r>
              <w:rPr>
                <w:rFonts w:hint="eastAsia"/>
              </w:rPr>
              <w:t>1</w:t>
            </w:r>
          </w:p>
        </w:tc>
        <w:tc>
          <w:tcPr>
            <w:tcW w:w="4281" w:type="dxa"/>
            <w:noWrap w:val="0"/>
            <w:vAlign w:val="center"/>
          </w:tcPr>
          <w:p w14:paraId="43890F40">
            <w:pPr>
              <w:pStyle w:val="5"/>
              <w:jc w:val="center"/>
              <w:rPr>
                <w:rFonts w:hint="eastAsia"/>
              </w:rPr>
            </w:pPr>
          </w:p>
        </w:tc>
        <w:tc>
          <w:tcPr>
            <w:tcW w:w="2385" w:type="dxa"/>
            <w:noWrap w:val="0"/>
            <w:vAlign w:val="center"/>
          </w:tcPr>
          <w:p w14:paraId="027969FD">
            <w:pPr>
              <w:pStyle w:val="5"/>
              <w:jc w:val="center"/>
              <w:rPr>
                <w:rFonts w:hint="default" w:eastAsia="宋体"/>
                <w:lang w:val="en-US" w:eastAsia="zh-CN"/>
              </w:rPr>
            </w:pPr>
          </w:p>
        </w:tc>
        <w:tc>
          <w:tcPr>
            <w:tcW w:w="1017" w:type="dxa"/>
            <w:noWrap w:val="0"/>
            <w:vAlign w:val="center"/>
          </w:tcPr>
          <w:p w14:paraId="5EF48C70">
            <w:pPr>
              <w:pStyle w:val="5"/>
              <w:jc w:val="center"/>
              <w:rPr>
                <w:rFonts w:hint="eastAsia"/>
              </w:rPr>
            </w:pPr>
          </w:p>
        </w:tc>
      </w:tr>
    </w:tbl>
    <w:p w14:paraId="79FC3FA7">
      <w:pPr>
        <w:pStyle w:val="5"/>
        <w:ind w:firstLine="420" w:firstLineChars="200"/>
      </w:pPr>
      <w:r>
        <w:rPr>
          <w:rFonts w:hint="eastAsia"/>
        </w:rPr>
        <w:t>第八条</w:t>
      </w:r>
      <w:r>
        <w:t xml:space="preserve">  </w:t>
      </w:r>
      <w:r>
        <w:rPr>
          <w:rFonts w:hint="eastAsia"/>
        </w:rPr>
        <w:t>对乙方测绘成果的所有权、使用权和著作权归属的约定：／</w:t>
      </w:r>
    </w:p>
    <w:p w14:paraId="66E23837">
      <w:pPr>
        <w:pStyle w:val="5"/>
      </w:pPr>
      <w:r>
        <w:t xml:space="preserve">    </w:t>
      </w:r>
      <w:r>
        <w:rPr>
          <w:rFonts w:hint="eastAsia"/>
        </w:rPr>
        <w:t>第九条</w:t>
      </w:r>
      <w:r>
        <w:t xml:space="preserve">  </w:t>
      </w:r>
      <w:r>
        <w:rPr>
          <w:rFonts w:hint="eastAsia"/>
        </w:rPr>
        <w:t>测绘工程费支付日期和方式</w:t>
      </w:r>
    </w:p>
    <w:p w14:paraId="547EC7B7">
      <w:pPr>
        <w:pStyle w:val="5"/>
        <w:rPr>
          <w:rFonts w:hint="eastAsia" w:hAnsi="Courier New" w:eastAsia="宋体" w:cs="Times New Roman"/>
        </w:rPr>
      </w:pPr>
      <w:r>
        <w:rPr>
          <w:rFonts w:hint="eastAsia" w:hAnsi="Courier New" w:eastAsia="宋体" w:cs="Times New Roman"/>
        </w:rPr>
        <w:t xml:space="preserve">    1、</w:t>
      </w:r>
      <w:r>
        <w:rPr>
          <w:rFonts w:hint="eastAsia" w:hAnsi="Courier New" w:eastAsia="宋体" w:cs="Times New Roman"/>
          <w:highlight w:val="none"/>
        </w:rPr>
        <w:t>本合同总价为</w:t>
      </w:r>
      <w:r>
        <w:rPr>
          <w:rFonts w:hint="eastAsia" w:hAnsi="Courier New" w:eastAsia="宋体" w:cs="Times New Roman"/>
          <w:highlight w:val="none"/>
          <w:lang w:val="en-US" w:eastAsia="zh-CN"/>
        </w:rPr>
        <w:t xml:space="preserve">   </w:t>
      </w:r>
      <w:r>
        <w:rPr>
          <w:rFonts w:hint="eastAsia" w:hAnsi="Courier New" w:eastAsia="宋体" w:cs="Times New Roman"/>
          <w:highlight w:val="none"/>
        </w:rPr>
        <w:t>元，完成</w:t>
      </w:r>
      <w:r>
        <w:rPr>
          <w:rFonts w:hint="eastAsia" w:hAnsi="Courier New" w:eastAsia="宋体" w:cs="Times New Roman"/>
          <w:highlight w:val="none"/>
          <w:lang w:val="en-US" w:eastAsia="zh-CN"/>
        </w:rPr>
        <w:t>4</w:t>
      </w:r>
      <w:r>
        <w:rPr>
          <w:rFonts w:hint="eastAsia" w:hAnsi="Courier New" w:eastAsia="宋体" w:cs="Times New Roman"/>
          <w:highlight w:val="none"/>
        </w:rPr>
        <w:t>次检测后支付</w:t>
      </w:r>
      <w:r>
        <w:rPr>
          <w:rFonts w:hint="eastAsia" w:hAnsi="Courier New" w:eastAsia="宋体" w:cs="Times New Roman"/>
          <w:highlight w:val="none"/>
          <w:lang w:val="en-US" w:eastAsia="zh-CN"/>
        </w:rPr>
        <w:t>30</w:t>
      </w:r>
      <w:r>
        <w:rPr>
          <w:rFonts w:hint="eastAsia" w:hAnsi="Courier New" w:eastAsia="宋体" w:cs="Times New Roman"/>
          <w:highlight w:val="none"/>
        </w:rPr>
        <w:t>%合同价款，计</w:t>
      </w:r>
      <w:r>
        <w:rPr>
          <w:rFonts w:hint="eastAsia" w:hAnsi="Courier New" w:eastAsia="宋体" w:cs="Times New Roman"/>
          <w:highlight w:val="none"/>
          <w:lang w:val="en-US" w:eastAsia="zh-CN"/>
        </w:rPr>
        <w:t xml:space="preserve">   </w:t>
      </w:r>
      <w:r>
        <w:rPr>
          <w:rFonts w:hint="eastAsia" w:hAnsi="Courier New" w:eastAsia="宋体" w:cs="Times New Roman"/>
          <w:highlight w:val="none"/>
        </w:rPr>
        <w:t>元</w:t>
      </w:r>
      <w:r>
        <w:rPr>
          <w:rFonts w:hint="eastAsia" w:hAnsi="Courier New" w:eastAsia="宋体" w:cs="Times New Roman"/>
        </w:rPr>
        <w:t>。全部检测完成后，甲方收到乙方所有成果后10日内根据合同第四条计费并向乙方结清该阶段工程总价款。</w:t>
      </w:r>
    </w:p>
    <w:p w14:paraId="51CC5179">
      <w:pPr>
        <w:pStyle w:val="5"/>
        <w:rPr>
          <w:rFonts w:hint="eastAsia"/>
          <w:color w:val="FF0000"/>
        </w:rPr>
      </w:pPr>
      <w:r>
        <w:rPr>
          <w:rFonts w:hint="eastAsia" w:hAnsi="Courier New" w:eastAsia="宋体" w:cs="Times New Roman"/>
        </w:rPr>
        <w:t xml:space="preserve">    2、</w:t>
      </w:r>
      <w:r>
        <w:rPr>
          <w:rFonts w:hint="eastAsia"/>
        </w:rPr>
        <w:t xml:space="preserve">根据甲方要求，乙方应提供等额增值税（普通/专用）发票，税率6%；如合同履行期间税率调整，双方按调整后的税率及相应的总价执行，调整原则：除税总价不变，含税总价进行相应调整。 </w:t>
      </w:r>
    </w:p>
    <w:p w14:paraId="25CE8AA0">
      <w:pPr>
        <w:pStyle w:val="5"/>
        <w:rPr>
          <w:rFonts w:hint="eastAsia"/>
          <w:color w:val="FF0000"/>
        </w:rPr>
      </w:pPr>
      <w:r>
        <w:rPr>
          <w:rFonts w:hint="eastAsia"/>
          <w:color w:val="FF0000"/>
        </w:rPr>
        <w:t xml:space="preserve">    </w:t>
      </w:r>
      <w:r>
        <w:t>3</w:t>
      </w:r>
      <w:r>
        <w:rPr>
          <w:rFonts w:hint="eastAsia"/>
        </w:rPr>
        <w:t>、乙方指定下列银行账户作为本合同下款项的收款账户：</w:t>
      </w:r>
    </w:p>
    <w:p w14:paraId="167055A5">
      <w:pPr>
        <w:pStyle w:val="5"/>
        <w:spacing w:line="276" w:lineRule="auto"/>
        <w:rPr>
          <w:rFonts w:hint="eastAsia"/>
        </w:rPr>
      </w:pPr>
      <w:r>
        <w:rPr>
          <w:rFonts w:hint="eastAsia"/>
        </w:rPr>
        <w:t xml:space="preserve">    开户银行：</w:t>
      </w:r>
    </w:p>
    <w:p w14:paraId="409BC175">
      <w:pPr>
        <w:pStyle w:val="5"/>
        <w:spacing w:line="276" w:lineRule="auto"/>
        <w:ind w:left="425"/>
        <w:rPr>
          <w:rFonts w:hint="eastAsia"/>
        </w:rPr>
      </w:pPr>
      <w:r>
        <w:rPr>
          <w:rFonts w:hint="eastAsia"/>
        </w:rPr>
        <w:t xml:space="preserve">开户名称：     </w:t>
      </w:r>
    </w:p>
    <w:p w14:paraId="34E6EFA5">
      <w:pPr>
        <w:pStyle w:val="5"/>
        <w:spacing w:line="276" w:lineRule="auto"/>
        <w:ind w:left="425"/>
        <w:rPr>
          <w:rFonts w:hint="eastAsia"/>
        </w:rPr>
      </w:pPr>
      <w:r>
        <w:rPr>
          <w:rFonts w:hint="eastAsia"/>
        </w:rPr>
        <w:t>银行账号：</w:t>
      </w:r>
    </w:p>
    <w:p w14:paraId="0F393B6A">
      <w:pPr>
        <w:pStyle w:val="5"/>
        <w:spacing w:line="276" w:lineRule="auto"/>
        <w:ind w:left="425"/>
        <w:rPr>
          <w:rFonts w:hint="eastAsia"/>
        </w:rPr>
      </w:pPr>
      <w:r>
        <w:rPr>
          <w:rFonts w:hint="eastAsia"/>
        </w:rPr>
        <w:t>纳税人识别号：</w:t>
      </w:r>
    </w:p>
    <w:p w14:paraId="49860434">
      <w:pPr>
        <w:pStyle w:val="5"/>
        <w:rPr>
          <w:rFonts w:hint="eastAsia"/>
        </w:rPr>
      </w:pPr>
      <w:r>
        <w:rPr>
          <w:rFonts w:hint="eastAsia"/>
        </w:rPr>
        <w:t xml:space="preserve">    4、甲方需在收到乙方开具发票的当月予以入账认证，特殊情况下最迟需于发票开具180天(开票日期当天起算)内予以入账认证。如发生退票，甲方需协助乙方办理开具红字增值税专用发票等相关手续。</w:t>
      </w:r>
    </w:p>
    <w:p w14:paraId="14468FEF">
      <w:pPr>
        <w:pStyle w:val="5"/>
      </w:pPr>
      <w:r>
        <w:t xml:space="preserve">    </w:t>
      </w:r>
      <w:r>
        <w:rPr>
          <w:rFonts w:hint="eastAsia"/>
        </w:rPr>
        <w:t>第十条</w:t>
      </w:r>
    </w:p>
    <w:p w14:paraId="3702B442">
      <w:pPr>
        <w:pStyle w:val="5"/>
        <w:rPr>
          <w:rFonts w:hint="eastAsia"/>
        </w:rPr>
      </w:pPr>
      <w:r>
        <w:t xml:space="preserve">    </w:t>
      </w:r>
      <w:r>
        <w:rPr>
          <w:rFonts w:hint="eastAsia"/>
        </w:rPr>
        <w:t>1、乙方向甲方交付成果（见下表）</w:t>
      </w:r>
    </w:p>
    <w:tbl>
      <w:tblPr>
        <w:tblStyle w:val="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39"/>
        <w:gridCol w:w="3969"/>
        <w:gridCol w:w="1029"/>
        <w:gridCol w:w="1417"/>
        <w:gridCol w:w="1418"/>
      </w:tblGrid>
      <w:tr w14:paraId="2EE60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4" w:hRule="atLeast"/>
        </w:trPr>
        <w:tc>
          <w:tcPr>
            <w:tcW w:w="639" w:type="dxa"/>
            <w:noWrap w:val="0"/>
            <w:vAlign w:val="center"/>
          </w:tcPr>
          <w:p w14:paraId="017B3D70">
            <w:pPr>
              <w:pStyle w:val="5"/>
            </w:pPr>
            <w:r>
              <w:rPr>
                <w:rFonts w:hint="eastAsia"/>
              </w:rPr>
              <w:t>序号</w:t>
            </w:r>
          </w:p>
        </w:tc>
        <w:tc>
          <w:tcPr>
            <w:tcW w:w="3969" w:type="dxa"/>
            <w:noWrap w:val="0"/>
            <w:vAlign w:val="center"/>
          </w:tcPr>
          <w:p w14:paraId="179100AD">
            <w:pPr>
              <w:pStyle w:val="5"/>
              <w:ind w:firstLine="945" w:firstLineChars="450"/>
            </w:pPr>
            <w:r>
              <w:rPr>
                <w:rFonts w:hint="eastAsia"/>
              </w:rPr>
              <w:t>成</w:t>
            </w:r>
            <w:r>
              <w:t xml:space="preserve">  </w:t>
            </w:r>
            <w:r>
              <w:rPr>
                <w:rFonts w:hint="eastAsia"/>
              </w:rPr>
              <w:t>果</w:t>
            </w:r>
            <w:r>
              <w:t xml:space="preserve">  </w:t>
            </w:r>
            <w:r>
              <w:rPr>
                <w:rFonts w:hint="eastAsia"/>
              </w:rPr>
              <w:t>名</w:t>
            </w:r>
            <w:r>
              <w:t xml:space="preserve">  </w:t>
            </w:r>
            <w:r>
              <w:rPr>
                <w:rFonts w:hint="eastAsia"/>
              </w:rPr>
              <w:t>称</w:t>
            </w:r>
          </w:p>
        </w:tc>
        <w:tc>
          <w:tcPr>
            <w:tcW w:w="1029" w:type="dxa"/>
            <w:noWrap w:val="0"/>
            <w:vAlign w:val="center"/>
          </w:tcPr>
          <w:p w14:paraId="7DA02A25">
            <w:pPr>
              <w:pStyle w:val="5"/>
            </w:pPr>
            <w:r>
              <w:rPr>
                <w:rFonts w:hint="eastAsia"/>
              </w:rPr>
              <w:t xml:space="preserve"> 规</w:t>
            </w:r>
            <w:r>
              <w:t xml:space="preserve">  </w:t>
            </w:r>
            <w:r>
              <w:rPr>
                <w:rFonts w:hint="eastAsia"/>
              </w:rPr>
              <w:t>格</w:t>
            </w:r>
          </w:p>
        </w:tc>
        <w:tc>
          <w:tcPr>
            <w:tcW w:w="1417" w:type="dxa"/>
            <w:noWrap w:val="0"/>
            <w:vAlign w:val="center"/>
          </w:tcPr>
          <w:p w14:paraId="538D629B">
            <w:pPr>
              <w:pStyle w:val="5"/>
              <w:ind w:firstLine="315" w:firstLineChars="150"/>
            </w:pPr>
            <w:r>
              <w:rPr>
                <w:rFonts w:hint="eastAsia"/>
              </w:rPr>
              <w:t>数</w:t>
            </w:r>
            <w:r>
              <w:t xml:space="preserve">  </w:t>
            </w:r>
            <w:r>
              <w:rPr>
                <w:rFonts w:hint="eastAsia"/>
              </w:rPr>
              <w:t>量</w:t>
            </w:r>
          </w:p>
        </w:tc>
        <w:tc>
          <w:tcPr>
            <w:tcW w:w="1418" w:type="dxa"/>
            <w:noWrap w:val="0"/>
            <w:vAlign w:val="center"/>
          </w:tcPr>
          <w:p w14:paraId="6E35BDBB">
            <w:pPr>
              <w:pStyle w:val="5"/>
              <w:jc w:val="center"/>
            </w:pPr>
            <w:r>
              <w:rPr>
                <w:rFonts w:hint="eastAsia"/>
              </w:rPr>
              <w:t>时</w:t>
            </w:r>
            <w:r>
              <w:t xml:space="preserve">  </w:t>
            </w:r>
            <w:r>
              <w:rPr>
                <w:rFonts w:hint="eastAsia"/>
              </w:rPr>
              <w:t>间</w:t>
            </w:r>
          </w:p>
        </w:tc>
      </w:tr>
      <w:tr w14:paraId="0CD2A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1" w:hRule="atLeast"/>
        </w:trPr>
        <w:tc>
          <w:tcPr>
            <w:tcW w:w="639" w:type="dxa"/>
            <w:noWrap w:val="0"/>
            <w:vAlign w:val="center"/>
          </w:tcPr>
          <w:p w14:paraId="77FBDF72">
            <w:pPr>
              <w:pStyle w:val="5"/>
              <w:jc w:val="center"/>
              <w:rPr>
                <w:rFonts w:hint="eastAsia"/>
              </w:rPr>
            </w:pPr>
            <w:r>
              <w:rPr>
                <w:rFonts w:hint="eastAsia"/>
              </w:rPr>
              <w:t>1</w:t>
            </w:r>
          </w:p>
        </w:tc>
        <w:tc>
          <w:tcPr>
            <w:tcW w:w="3969" w:type="dxa"/>
            <w:noWrap w:val="0"/>
            <w:vAlign w:val="center"/>
          </w:tcPr>
          <w:p w14:paraId="25D95988">
            <w:pPr>
              <w:pStyle w:val="5"/>
              <w:jc w:val="center"/>
              <w:rPr>
                <w:rFonts w:hint="eastAsia"/>
              </w:rPr>
            </w:pPr>
          </w:p>
        </w:tc>
        <w:tc>
          <w:tcPr>
            <w:tcW w:w="1029" w:type="dxa"/>
            <w:noWrap w:val="0"/>
            <w:vAlign w:val="center"/>
          </w:tcPr>
          <w:p w14:paraId="54B5319D">
            <w:pPr>
              <w:pStyle w:val="5"/>
              <w:ind w:firstLine="315" w:firstLineChars="150"/>
              <w:rPr>
                <w:rFonts w:hint="eastAsia"/>
              </w:rPr>
            </w:pPr>
          </w:p>
        </w:tc>
        <w:tc>
          <w:tcPr>
            <w:tcW w:w="1417" w:type="dxa"/>
            <w:noWrap w:val="0"/>
            <w:vAlign w:val="center"/>
          </w:tcPr>
          <w:p w14:paraId="5EAE8E65">
            <w:pPr>
              <w:pStyle w:val="5"/>
              <w:jc w:val="center"/>
              <w:rPr>
                <w:rFonts w:hint="eastAsia"/>
              </w:rPr>
            </w:pPr>
          </w:p>
        </w:tc>
        <w:tc>
          <w:tcPr>
            <w:tcW w:w="1418" w:type="dxa"/>
            <w:noWrap w:val="0"/>
            <w:vAlign w:val="center"/>
          </w:tcPr>
          <w:p w14:paraId="2EC4C97E">
            <w:pPr>
              <w:pStyle w:val="5"/>
              <w:rPr>
                <w:rFonts w:hint="eastAsia"/>
              </w:rPr>
            </w:pPr>
            <w:r>
              <w:rPr>
                <w:rFonts w:hint="eastAsia"/>
              </w:rPr>
              <w:t xml:space="preserve">   </w:t>
            </w:r>
          </w:p>
        </w:tc>
      </w:tr>
      <w:tr w14:paraId="51DB2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1" w:hRule="atLeast"/>
        </w:trPr>
        <w:tc>
          <w:tcPr>
            <w:tcW w:w="639" w:type="dxa"/>
            <w:noWrap w:val="0"/>
            <w:vAlign w:val="center"/>
          </w:tcPr>
          <w:p w14:paraId="050B4E72">
            <w:pPr>
              <w:pStyle w:val="5"/>
              <w:jc w:val="center"/>
              <w:rPr>
                <w:rFonts w:hint="eastAsia" w:eastAsia="宋体"/>
                <w:highlight w:val="green"/>
                <w:lang w:val="en-US" w:eastAsia="zh-CN"/>
              </w:rPr>
            </w:pPr>
            <w:r>
              <w:rPr>
                <w:rFonts w:hint="eastAsia" w:hAnsi="Courier New" w:eastAsia="宋体" w:cs="Times New Roman"/>
                <w:color w:val="auto"/>
                <w:lang w:val="en-US" w:eastAsia="zh-CN"/>
              </w:rPr>
              <w:t>2</w:t>
            </w:r>
          </w:p>
        </w:tc>
        <w:tc>
          <w:tcPr>
            <w:tcW w:w="3969" w:type="dxa"/>
            <w:noWrap w:val="0"/>
            <w:vAlign w:val="center"/>
          </w:tcPr>
          <w:p w14:paraId="2A7F36BD">
            <w:pPr>
              <w:pStyle w:val="5"/>
              <w:jc w:val="center"/>
              <w:rPr>
                <w:rFonts w:hint="default" w:hAnsi="Courier New" w:eastAsia="宋体" w:cs="Times New Roman"/>
                <w:highlight w:val="green"/>
                <w:lang w:val="en-US" w:eastAsia="zh-CN"/>
              </w:rPr>
            </w:pPr>
          </w:p>
        </w:tc>
        <w:tc>
          <w:tcPr>
            <w:tcW w:w="1029" w:type="dxa"/>
            <w:noWrap w:val="0"/>
            <w:vAlign w:val="center"/>
          </w:tcPr>
          <w:p w14:paraId="2623A5CA">
            <w:pPr>
              <w:pStyle w:val="5"/>
              <w:ind w:firstLine="315" w:firstLineChars="150"/>
              <w:rPr>
                <w:rFonts w:hint="eastAsia"/>
                <w:highlight w:val="green"/>
              </w:rPr>
            </w:pPr>
          </w:p>
        </w:tc>
        <w:tc>
          <w:tcPr>
            <w:tcW w:w="1417" w:type="dxa"/>
            <w:noWrap w:val="0"/>
            <w:vAlign w:val="center"/>
          </w:tcPr>
          <w:p w14:paraId="091F0507">
            <w:pPr>
              <w:pStyle w:val="5"/>
              <w:jc w:val="center"/>
              <w:rPr>
                <w:rFonts w:hint="eastAsia"/>
                <w:highlight w:val="green"/>
              </w:rPr>
            </w:pPr>
          </w:p>
        </w:tc>
        <w:tc>
          <w:tcPr>
            <w:tcW w:w="1418" w:type="dxa"/>
            <w:noWrap w:val="0"/>
            <w:vAlign w:val="center"/>
          </w:tcPr>
          <w:p w14:paraId="0EA56D70">
            <w:pPr>
              <w:pStyle w:val="5"/>
              <w:jc w:val="center"/>
              <w:rPr>
                <w:rFonts w:hint="default" w:eastAsia="宋体"/>
                <w:highlight w:val="green"/>
                <w:lang w:val="en-US" w:eastAsia="zh-CN"/>
              </w:rPr>
            </w:pPr>
          </w:p>
        </w:tc>
      </w:tr>
    </w:tbl>
    <w:p w14:paraId="3273DB8A">
      <w:pPr>
        <w:pStyle w:val="5"/>
        <w:spacing w:line="360" w:lineRule="auto"/>
        <w:rPr>
          <w:rFonts w:hint="eastAsia"/>
        </w:rPr>
      </w:pPr>
      <w:r>
        <w:rPr>
          <w:rFonts w:hint="eastAsia"/>
        </w:rPr>
        <w:t xml:space="preserve">   </w:t>
      </w:r>
      <w:r>
        <w:rPr>
          <w:rFonts w:hint="eastAsia"/>
          <w:lang w:val="en-US" w:eastAsia="zh-CN"/>
        </w:rPr>
        <w:t xml:space="preserve"> </w:t>
      </w:r>
      <w:r>
        <w:rPr>
          <w:rFonts w:hint="eastAsia"/>
        </w:rPr>
        <w:t xml:space="preserve"> 第十一条</w:t>
      </w:r>
      <w:r>
        <w:t xml:space="preserve">  </w:t>
      </w:r>
      <w:r>
        <w:rPr>
          <w:rFonts w:hint="eastAsia"/>
        </w:rPr>
        <w:t>甲方违约责任</w:t>
      </w:r>
    </w:p>
    <w:p w14:paraId="5FF4F2B8">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1、合同执行期间，由于甲方原因要求停止测绘工作的，甲方应及时书面通知乙方；甲方应向乙方支付合同标的额30%的违约金同时支付乙方实际发生所有费用。</w:t>
      </w:r>
    </w:p>
    <w:p w14:paraId="4849FD9F">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2、甲方未给乙方提供必要的工作条件而造成停、窝工时，甲方应付给乙方停、窝工费，停、窝工费按合同约定的平均工日产值计算，同时工期顺延。</w:t>
      </w:r>
    </w:p>
    <w:p w14:paraId="72D541C5">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3、甲方未按期支付乙方测绘工程费，应按延误天数和当时银行贷款利率，向乙方支付违约金。</w:t>
      </w:r>
    </w:p>
    <w:p w14:paraId="0297BA45">
      <w:pPr>
        <w:pStyle w:val="5"/>
        <w:spacing w:line="360" w:lineRule="auto"/>
        <w:ind w:left="0" w:leftChars="0" w:firstLine="0" w:firstLineChars="0"/>
        <w:rPr>
          <w:rFonts w:hint="eastAsia" w:hAnsi="Courier New" w:eastAsia="宋体" w:cs="Times New Roman"/>
          <w:color w:val="auto"/>
          <w:highlight w:val="none"/>
        </w:rPr>
      </w:pPr>
      <w:r>
        <w:rPr>
          <w:rFonts w:hint="eastAsia" w:hAnsi="Courier New" w:eastAsia="宋体" w:cs="Times New Roman"/>
          <w:color w:val="auto"/>
        </w:rPr>
        <w:t xml:space="preserve"> </w:t>
      </w:r>
      <w:r>
        <w:rPr>
          <w:rFonts w:hint="eastAsia" w:hAnsi="Courier New" w:eastAsia="宋体" w:cs="Times New Roman"/>
          <w:color w:val="auto"/>
          <w:lang w:val="en-US" w:eastAsia="zh-CN"/>
        </w:rPr>
        <w:t xml:space="preserve">   </w:t>
      </w:r>
      <w:r>
        <w:rPr>
          <w:rFonts w:hint="eastAsia" w:hAnsi="Courier New" w:eastAsia="宋体" w:cs="Times New Roman"/>
          <w:color w:val="auto"/>
          <w:highlight w:val="none"/>
        </w:rPr>
        <w:t>4、对于乙方提供的图纸等资料以及属于乙方的测绘成果，甲方有义务保密。</w:t>
      </w:r>
    </w:p>
    <w:p w14:paraId="63BF0D1B">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 xml:space="preserve">   第十二条  乙方违约责任</w:t>
      </w:r>
    </w:p>
    <w:p w14:paraId="5D45020F">
      <w:pPr>
        <w:pStyle w:val="5"/>
        <w:spacing w:line="360" w:lineRule="auto"/>
        <w:ind w:firstLine="630" w:firstLineChars="300"/>
        <w:rPr>
          <w:rFonts w:hint="eastAsia" w:hAnsi="Courier New" w:eastAsia="宋体" w:cs="Times New Roman"/>
          <w:color w:val="auto"/>
        </w:rPr>
      </w:pPr>
      <w:r>
        <w:rPr>
          <w:rFonts w:hint="eastAsia" w:hAnsi="Courier New" w:eastAsia="宋体" w:cs="Times New Roman"/>
          <w:color w:val="auto"/>
        </w:rPr>
        <w:t>1、合同生效后，如乙方无合理理由擅自中途停止或解除合同，乙方应向甲方支付合同标的额30%的违约金。</w:t>
      </w:r>
    </w:p>
    <w:p w14:paraId="10B55E7D">
      <w:pPr>
        <w:pStyle w:val="5"/>
        <w:spacing w:line="360" w:lineRule="auto"/>
        <w:ind w:firstLine="630" w:firstLineChars="300"/>
        <w:rPr>
          <w:rFonts w:hint="eastAsia" w:hAnsi="Courier New" w:eastAsia="宋体" w:cs="Times New Roman"/>
          <w:color w:val="auto"/>
        </w:rPr>
      </w:pPr>
      <w:r>
        <w:rPr>
          <w:rFonts w:hint="eastAsia" w:hAnsi="Courier New" w:eastAsia="宋体" w:cs="Times New Roman"/>
          <w:color w:val="auto"/>
        </w:rPr>
        <w:t>2、在甲方提供了必要的工作条件，并且保证了工程款按时到位，乙方未能按合同规定的日期提交测绘成果时，应向甲方偿付逾期损失费，每逾期一天按本合同约定的测绘工程费总价的1%计算。因天气、交通、政府行为、甲方提供的资料不准确等客观原因造成的工程拖期，乙方不承担赔偿责任。</w:t>
      </w:r>
    </w:p>
    <w:p w14:paraId="175E6081">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 xml:space="preserve"> 3、乙方提供的测绘成果质量不合格，乙方应负责无偿给予重测或采取补救措施，以达到质量要求。因测绘成果质量不符合合同约定的要求（而又非甲方提供的图纸资料原因所致）造成后果时，乙方应承担赔偿责任，赔偿金额从本合同中相关项目金额中抵扣，不足部分，乙方需额外支付赔偿金，额外赔偿金以本合同中相关项目实收金额为上限（由于甲方提供的图纸资料原因产生的责任由甲方自己负责）。</w:t>
      </w:r>
    </w:p>
    <w:p w14:paraId="4F233808">
      <w:pPr>
        <w:pStyle w:val="5"/>
        <w:spacing w:line="360" w:lineRule="auto"/>
        <w:ind w:firstLine="210" w:firstLineChars="100"/>
        <w:rPr>
          <w:rFonts w:hint="eastAsia" w:hAnsi="Courier New" w:eastAsia="宋体" w:cs="Times New Roman"/>
          <w:color w:val="auto"/>
        </w:rPr>
      </w:pPr>
      <w:r>
        <w:rPr>
          <w:rFonts w:hint="eastAsia" w:hAnsi="Courier New" w:eastAsia="宋体" w:cs="Times New Roman"/>
          <w:color w:val="auto"/>
        </w:rPr>
        <w:t xml:space="preserve"> 4、对于甲方提供的图纸和技术资料以及属于甲方的测绘成果，乙方有义务保密，不得</w:t>
      </w:r>
    </w:p>
    <w:p w14:paraId="1D545968">
      <w:pPr>
        <w:pStyle w:val="5"/>
        <w:spacing w:line="360" w:lineRule="auto"/>
        <w:ind w:left="0" w:leftChars="0" w:firstLine="0" w:firstLineChars="0"/>
        <w:rPr>
          <w:rFonts w:hint="eastAsia" w:hAnsi="Courier New" w:eastAsia="宋体" w:cs="Times New Roman"/>
          <w:color w:val="auto"/>
        </w:rPr>
      </w:pPr>
      <w:r>
        <w:rPr>
          <w:rFonts w:hint="eastAsia" w:hAnsi="Courier New" w:eastAsia="宋体" w:cs="Times New Roman"/>
          <w:color w:val="auto"/>
        </w:rPr>
        <w:t>向第三方转让，否则，甲方有权对因此造成的损失追究责任。</w:t>
      </w:r>
    </w:p>
    <w:p w14:paraId="19C7079F">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第十三条  由于不可抗力，致使合同无法履行时，双方应按有关法律规定及时协商处理。</w:t>
      </w:r>
    </w:p>
    <w:p w14:paraId="1F563E0C">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 xml:space="preserve">第十四条  其它约定：／ </w:t>
      </w:r>
    </w:p>
    <w:p w14:paraId="648EE243">
      <w:pPr>
        <w:pStyle w:val="5"/>
        <w:spacing w:line="360" w:lineRule="auto"/>
        <w:rPr>
          <w:rFonts w:hint="eastAsia" w:hAnsi="Courier New" w:eastAsia="宋体" w:cs="Times New Roman"/>
          <w:color w:val="auto"/>
        </w:rPr>
      </w:pPr>
      <w:r>
        <w:rPr>
          <w:rFonts w:hint="eastAsia" w:hAnsi="Courier New" w:eastAsia="宋体" w:cs="Times New Roman"/>
          <w:color w:val="auto"/>
        </w:rPr>
        <w:t xml:space="preserve">  </w:t>
      </w:r>
      <w:r>
        <w:rPr>
          <w:rFonts w:hint="eastAsia" w:hAnsi="Courier New" w:eastAsia="宋体" w:cs="Times New Roman"/>
          <w:color w:val="auto"/>
          <w:lang w:val="en-US" w:eastAsia="zh-CN"/>
        </w:rPr>
        <w:t xml:space="preserve">  </w:t>
      </w:r>
      <w:r>
        <w:rPr>
          <w:rFonts w:hint="eastAsia" w:hAnsi="Courier New" w:eastAsia="宋体" w:cs="Times New Roman"/>
          <w:color w:val="auto"/>
        </w:rPr>
        <w:t>第十五条  本合同执行过程中的未尽事宜，双方应本着实事求是友好协商的态度加以解</w:t>
      </w:r>
    </w:p>
    <w:p w14:paraId="68BF275B">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决。双方协商一致的，签订补充协议。补充协议与本合同具有同等效力。</w:t>
      </w:r>
    </w:p>
    <w:p w14:paraId="1EEC19B9">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第十六条  甲方承担施工期间的安全生产责任与文明施工管理。乙方在施工期间必须严格执行和遵守甲方的安全生产、防火管理的各项规定，接受甲方的督促、检查和指导。</w:t>
      </w:r>
    </w:p>
    <w:p w14:paraId="1D806CE9">
      <w:pPr>
        <w:pStyle w:val="5"/>
        <w:spacing w:line="360" w:lineRule="auto"/>
        <w:ind w:firstLine="210" w:firstLineChars="100"/>
        <w:rPr>
          <w:rFonts w:hint="eastAsia" w:hAnsi="Courier New" w:eastAsia="宋体" w:cs="Times New Roman"/>
          <w:color w:val="auto"/>
          <w:highlight w:val="none"/>
        </w:rPr>
      </w:pPr>
      <w:r>
        <w:rPr>
          <w:rFonts w:hint="eastAsia" w:hAnsi="Courier New" w:eastAsia="宋体" w:cs="Times New Roman"/>
          <w:color w:val="auto"/>
        </w:rPr>
        <w:t xml:space="preserve">  第十七条  双方因履行本合同而发生的争议，应协商、调解解决。协商、调解不成的，确定按</w:t>
      </w:r>
      <w:r>
        <w:rPr>
          <w:rFonts w:hint="eastAsia" w:hAnsi="Courier New" w:eastAsia="宋体" w:cs="Times New Roman"/>
          <w:color w:val="auto"/>
          <w:highlight w:val="none"/>
        </w:rPr>
        <w:t>以下第（</w:t>
      </w:r>
      <w:r>
        <w:rPr>
          <w:rFonts w:hint="eastAsia" w:hAnsi="Courier New" w:eastAsia="宋体" w:cs="Times New Roman"/>
          <w:color w:val="auto"/>
          <w:highlight w:val="none"/>
          <w:lang w:val="en-US" w:eastAsia="zh-CN"/>
        </w:rPr>
        <w:t>2</w:t>
      </w:r>
      <w:r>
        <w:rPr>
          <w:rFonts w:hint="eastAsia" w:hAnsi="Courier New" w:eastAsia="宋体" w:cs="Times New Roman"/>
          <w:color w:val="auto"/>
          <w:highlight w:val="none"/>
        </w:rPr>
        <w:t>）种方式处理：</w:t>
      </w:r>
    </w:p>
    <w:p w14:paraId="4B5DB1C2">
      <w:pPr>
        <w:pStyle w:val="5"/>
        <w:spacing w:line="360" w:lineRule="auto"/>
        <w:ind w:firstLine="420" w:firstLineChars="200"/>
        <w:rPr>
          <w:rFonts w:hint="eastAsia" w:hAnsi="Courier New" w:eastAsia="宋体" w:cs="Times New Roman"/>
          <w:color w:val="auto"/>
          <w:highlight w:val="none"/>
        </w:rPr>
      </w:pPr>
      <w:r>
        <w:rPr>
          <w:rFonts w:hint="eastAsia" w:hAnsi="Courier New" w:eastAsia="宋体" w:cs="Times New Roman"/>
          <w:color w:val="auto"/>
          <w:highlight w:val="none"/>
        </w:rPr>
        <w:t>1．提交温州市仲裁委员会仲裁；</w:t>
      </w:r>
    </w:p>
    <w:p w14:paraId="0A60C1A2">
      <w:pPr>
        <w:pStyle w:val="5"/>
        <w:spacing w:line="360" w:lineRule="auto"/>
        <w:ind w:firstLine="420"/>
        <w:rPr>
          <w:rFonts w:hint="eastAsia" w:hAnsi="Courier New" w:eastAsia="宋体" w:cs="Times New Roman"/>
          <w:color w:val="auto"/>
          <w:highlight w:val="none"/>
        </w:rPr>
      </w:pPr>
      <w:r>
        <w:rPr>
          <w:rFonts w:hint="eastAsia" w:hAnsi="Courier New" w:eastAsia="宋体" w:cs="Times New Roman"/>
          <w:color w:val="auto"/>
          <w:highlight w:val="none"/>
        </w:rPr>
        <w:t>2．依法向甲方所在地人民法院提起诉讼。</w:t>
      </w:r>
    </w:p>
    <w:p w14:paraId="3AB92293">
      <w:pPr>
        <w:pStyle w:val="5"/>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rPr>
      </w:pPr>
      <w:r>
        <w:rPr>
          <w:rFonts w:hint="eastAsia"/>
          <w:szCs w:val="22"/>
          <w:highlight w:val="none"/>
          <w:lang w:val="en-US" w:eastAsia="zh-CN"/>
        </w:rPr>
        <w:t>第十八条</w:t>
      </w:r>
      <w:r>
        <w:rPr>
          <w:rFonts w:hint="default"/>
          <w:szCs w:val="22"/>
          <w:highlight w:val="none"/>
          <w:lang w:val="en-US" w:eastAsia="zh-CN"/>
        </w:rPr>
        <w:t xml:space="preserve"> </w:t>
      </w:r>
      <w:r>
        <w:rPr>
          <w:rFonts w:hint="eastAsia"/>
          <w:szCs w:val="22"/>
          <w:highlight w:val="none"/>
        </w:rPr>
        <w:t>廉洁条款</w:t>
      </w:r>
    </w:p>
    <w:p w14:paraId="234E71FF">
      <w:pPr>
        <w:pStyle w:val="5"/>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eastAsia"/>
          <w:szCs w:val="22"/>
          <w:highlight w:val="none"/>
        </w:rPr>
        <w:t>为规范双方工程、货物和服务采购往来活动，建立诚实守信的合作关系，推进廉政建设，维护双方合法权益，经双方共同协商，共同遵守以下廉洁事宜</w:t>
      </w:r>
      <w:r>
        <w:rPr>
          <w:rFonts w:hint="eastAsia"/>
          <w:szCs w:val="22"/>
          <w:highlight w:val="none"/>
          <w:lang w:eastAsia="zh-CN"/>
        </w:rPr>
        <w:t>。</w:t>
      </w:r>
    </w:p>
    <w:p w14:paraId="13BFA205">
      <w:pPr>
        <w:pStyle w:val="5"/>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eastAsia"/>
          <w:szCs w:val="22"/>
          <w:highlight w:val="none"/>
          <w:lang w:eastAsia="zh-CN"/>
        </w:rPr>
        <w:t>甲方的义务</w:t>
      </w:r>
    </w:p>
    <w:p w14:paraId="4E1532EC">
      <w:pPr>
        <w:pStyle w:val="5"/>
        <w:keepNext w:val="0"/>
        <w:keepLines w:val="0"/>
        <w:pageBreakBefore w:val="0"/>
        <w:widowControl w:val="0"/>
        <w:numPr>
          <w:ilvl w:val="0"/>
          <w:numId w:val="5"/>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eastAsia"/>
          <w:szCs w:val="22"/>
          <w:highlight w:val="none"/>
          <w:lang w:eastAsia="zh-CN"/>
        </w:rPr>
        <w:t>甲方应当严格规范从业人员，不得以任何形式索要或者接受乙方礼金、礼品、有价证券和支付凭证等，难以拒收的，必须按有关规定登记上交。</w:t>
      </w:r>
    </w:p>
    <w:p w14:paraId="18C27178">
      <w:pPr>
        <w:pStyle w:val="5"/>
        <w:keepNext w:val="0"/>
        <w:keepLines w:val="0"/>
        <w:pageBreakBefore w:val="0"/>
        <w:widowControl w:val="0"/>
        <w:numPr>
          <w:ilvl w:val="0"/>
          <w:numId w:val="5"/>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甲方及其工作人员不得参加乙方安排的高消费宴请和娱乐活动。</w:t>
      </w:r>
    </w:p>
    <w:p w14:paraId="567C81C7">
      <w:pPr>
        <w:pStyle w:val="5"/>
        <w:keepNext w:val="0"/>
        <w:keepLines w:val="0"/>
        <w:pageBreakBefore w:val="0"/>
        <w:widowControl w:val="0"/>
        <w:numPr>
          <w:ilvl w:val="0"/>
          <w:numId w:val="5"/>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甲方工作人员的配偶、子女及其亲属不得从事与合同有关的设备材料供应、工程分包、劳务等经济活动。</w:t>
      </w:r>
    </w:p>
    <w:p w14:paraId="5B51B889">
      <w:pPr>
        <w:pStyle w:val="5"/>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乙方的义务</w:t>
      </w:r>
    </w:p>
    <w:p w14:paraId="5B6A90EA">
      <w:pPr>
        <w:pStyle w:val="5"/>
        <w:keepNext w:val="0"/>
        <w:keepLines w:val="0"/>
        <w:pageBreakBefore w:val="0"/>
        <w:widowControl w:val="0"/>
        <w:numPr>
          <w:ilvl w:val="0"/>
          <w:numId w:val="6"/>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eastAsia"/>
          <w:szCs w:val="22"/>
          <w:highlight w:val="none"/>
          <w:lang w:eastAsia="zh-CN"/>
        </w:rPr>
        <w:t>乙方不得以任何理由向甲方及其工作人员馈赠礼金、礼品、有价证券和支付凭证等。</w:t>
      </w:r>
    </w:p>
    <w:p w14:paraId="39AACC92">
      <w:pPr>
        <w:pStyle w:val="5"/>
        <w:keepNext w:val="0"/>
        <w:keepLines w:val="0"/>
        <w:pageBreakBefore w:val="0"/>
        <w:widowControl w:val="0"/>
        <w:numPr>
          <w:ilvl w:val="0"/>
          <w:numId w:val="6"/>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乙方不得以任何理由安排甲方工作人员参加高消费宴请和娱乐活动。</w:t>
      </w:r>
    </w:p>
    <w:p w14:paraId="44D34A43">
      <w:pPr>
        <w:pStyle w:val="5"/>
        <w:keepNext w:val="0"/>
        <w:keepLines w:val="0"/>
        <w:pageBreakBefore w:val="0"/>
        <w:widowControl w:val="0"/>
        <w:numPr>
          <w:ilvl w:val="0"/>
          <w:numId w:val="6"/>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乙方与甲方发生业务、工程、采购往来过程中，不得有弄虚作假、以次充好、虚假结算等违反诚信原则的行为。</w:t>
      </w:r>
    </w:p>
    <w:p w14:paraId="1E2553BB">
      <w:pPr>
        <w:pStyle w:val="5"/>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违约责任</w:t>
      </w:r>
    </w:p>
    <w:p w14:paraId="787F2E41">
      <w:pPr>
        <w:pStyle w:val="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default"/>
          <w:szCs w:val="22"/>
          <w:highlight w:val="none"/>
          <w:lang w:val="en-US" w:eastAsia="zh-CN"/>
        </w:rPr>
        <w:t>1.</w:t>
      </w:r>
      <w:r>
        <w:rPr>
          <w:rFonts w:hint="eastAsia"/>
          <w:szCs w:val="22"/>
          <w:highlight w:val="none"/>
          <w:lang w:eastAsia="zh-CN"/>
        </w:rPr>
        <w:t>甲方及其工作人员有违反本规定的，将严格按照公用集团《党风廉政建设责任制实施办法》处理；情节严重的，按照规定承担赔偿责任；涉及犯罪的，将移交司法机关追究法律责任。</w:t>
      </w:r>
    </w:p>
    <w:p w14:paraId="33417C36">
      <w:pPr>
        <w:pStyle w:val="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default"/>
          <w:szCs w:val="22"/>
          <w:highlight w:val="none"/>
          <w:lang w:val="en-US" w:eastAsia="zh-CN"/>
        </w:rPr>
        <w:t>2.</w:t>
      </w:r>
      <w:r>
        <w:rPr>
          <w:rFonts w:hint="eastAsia"/>
          <w:szCs w:val="22"/>
          <w:highlight w:val="none"/>
          <w:lang w:eastAsia="zh-CN"/>
        </w:rPr>
        <w:t>乙方及其工作人员违反本规定的，甲方可以依据本合同违约条款规定，视为乙方放弃甲方应付但未付的后续款项（包含但是不限于现金、物资）；同时，年度评价一票否决，合同到期将不再续签。涉及犯罪的，将移交司法机关追究法律责任。甲方有权根据违约情况解除乙方该项目的业务合同，并在发生违约之日起一年内取消乙方进入甲方市场的准入资格。因取消合同给甲方造成经济损失的，乙方应当予以赔偿。</w:t>
      </w:r>
    </w:p>
    <w:p w14:paraId="0D99AE82">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第十</w:t>
      </w:r>
      <w:r>
        <w:rPr>
          <w:rFonts w:hint="eastAsia" w:hAnsi="Courier New" w:eastAsia="宋体" w:cs="Times New Roman"/>
          <w:color w:val="auto"/>
          <w:lang w:val="en-US" w:eastAsia="zh-CN"/>
        </w:rPr>
        <w:t>九</w:t>
      </w:r>
      <w:r>
        <w:rPr>
          <w:rFonts w:hint="eastAsia" w:hAnsi="Courier New" w:eastAsia="宋体" w:cs="Times New Roman"/>
          <w:color w:val="auto"/>
        </w:rPr>
        <w:t>条  附则</w:t>
      </w:r>
    </w:p>
    <w:p w14:paraId="512D6F82">
      <w:pPr>
        <w:pStyle w:val="5"/>
        <w:spacing w:line="360" w:lineRule="auto"/>
      </w:pPr>
      <w:r>
        <w:rPr>
          <w:rFonts w:hint="eastAsia" w:hAnsi="Courier New" w:eastAsia="宋体" w:cs="Times New Roman"/>
          <w:color w:val="auto"/>
          <w:lang w:val="en-US" w:eastAsia="zh-CN"/>
        </w:rPr>
        <w:t xml:space="preserve">  </w:t>
      </w:r>
      <w:r>
        <w:rPr>
          <w:rFonts w:hint="eastAsia" w:hAnsi="Courier New" w:eastAsia="宋体" w:cs="Times New Roman"/>
          <w:color w:val="auto"/>
        </w:rPr>
        <w:t xml:space="preserve"> 1、本合同在双方法定代表人或其委托代理人签章，加盖公章或合同专用章后生效。全部成果交接完毕和测绘工程费结算完成后，本合同终止。</w:t>
      </w:r>
      <w:r>
        <w:t xml:space="preserve">   </w:t>
      </w:r>
    </w:p>
    <w:p w14:paraId="68269481">
      <w:pPr>
        <w:pStyle w:val="5"/>
        <w:spacing w:line="360" w:lineRule="auto"/>
        <w:rPr>
          <w:rFonts w:hint="eastAsia"/>
        </w:rPr>
      </w:pPr>
      <w:r>
        <w:rPr>
          <w:rFonts w:hint="eastAsia"/>
          <w:lang w:val="en-US" w:eastAsia="zh-CN"/>
        </w:rPr>
        <w:t xml:space="preserve">  </w:t>
      </w:r>
      <w:r>
        <w:rPr>
          <w:rFonts w:hint="eastAsia"/>
        </w:rPr>
        <w:t xml:space="preserve"> 2、本合同一式</w:t>
      </w:r>
      <w:r>
        <w:rPr>
          <w:rFonts w:hint="eastAsia"/>
          <w:u w:val="single"/>
        </w:rPr>
        <w:t>陆</w:t>
      </w:r>
      <w:r>
        <w:rPr>
          <w:rFonts w:hint="eastAsia"/>
        </w:rPr>
        <w:t>份，甲方执</w:t>
      </w:r>
      <w:r>
        <w:rPr>
          <w:rFonts w:hint="eastAsia"/>
          <w:u w:val="single"/>
        </w:rPr>
        <w:t>叁</w:t>
      </w:r>
      <w:r>
        <w:rPr>
          <w:rFonts w:hint="eastAsia"/>
        </w:rPr>
        <w:t>份，乙方执</w:t>
      </w:r>
      <w:r>
        <w:rPr>
          <w:rFonts w:hint="eastAsia"/>
          <w:u w:val="single"/>
        </w:rPr>
        <w:t>叁</w:t>
      </w:r>
      <w:r>
        <w:rPr>
          <w:rFonts w:hint="eastAsia"/>
        </w:rPr>
        <w:t>份。</w:t>
      </w:r>
    </w:p>
    <w:tbl>
      <w:tblPr>
        <w:tblStyle w:val="3"/>
        <w:tblW w:w="9107" w:type="dxa"/>
        <w:tblInd w:w="-19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72"/>
        <w:gridCol w:w="3996"/>
        <w:gridCol w:w="397"/>
        <w:gridCol w:w="4242"/>
      </w:tblGrid>
      <w:tr w14:paraId="695CB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restart"/>
            <w:noWrap w:val="0"/>
            <w:vAlign w:val="center"/>
          </w:tcPr>
          <w:p w14:paraId="032C5399">
            <w:pPr>
              <w:pStyle w:val="5"/>
              <w:jc w:val="center"/>
            </w:pPr>
          </w:p>
          <w:p w14:paraId="3FC03DE5">
            <w:pPr>
              <w:pStyle w:val="5"/>
              <w:jc w:val="center"/>
              <w:rPr>
                <w:rFonts w:hint="eastAsia"/>
              </w:rPr>
            </w:pPr>
            <w:r>
              <w:rPr>
                <w:rFonts w:hint="eastAsia"/>
              </w:rPr>
              <w:t>委</w:t>
            </w:r>
          </w:p>
          <w:p w14:paraId="78697045">
            <w:pPr>
              <w:pStyle w:val="5"/>
              <w:jc w:val="center"/>
              <w:rPr>
                <w:rFonts w:hint="eastAsia"/>
              </w:rPr>
            </w:pPr>
          </w:p>
          <w:p w14:paraId="24FAE210">
            <w:pPr>
              <w:pStyle w:val="5"/>
              <w:jc w:val="center"/>
              <w:rPr>
                <w:rFonts w:hint="eastAsia"/>
              </w:rPr>
            </w:pPr>
            <w:r>
              <w:rPr>
                <w:rFonts w:hint="eastAsia"/>
              </w:rPr>
              <w:t>托</w:t>
            </w:r>
          </w:p>
          <w:p w14:paraId="78119915">
            <w:pPr>
              <w:pStyle w:val="5"/>
              <w:jc w:val="center"/>
              <w:rPr>
                <w:rFonts w:hint="eastAsia"/>
              </w:rPr>
            </w:pPr>
          </w:p>
          <w:p w14:paraId="23F1B8D9">
            <w:pPr>
              <w:pStyle w:val="5"/>
              <w:jc w:val="center"/>
            </w:pPr>
            <w:r>
              <w:rPr>
                <w:rFonts w:hint="eastAsia"/>
              </w:rPr>
              <w:t>方</w:t>
            </w:r>
          </w:p>
        </w:tc>
        <w:tc>
          <w:tcPr>
            <w:tcW w:w="3996" w:type="dxa"/>
            <w:noWrap w:val="0"/>
            <w:vAlign w:val="center"/>
          </w:tcPr>
          <w:p w14:paraId="10EC1043">
            <w:pPr>
              <w:pStyle w:val="5"/>
              <w:rPr>
                <w:rFonts w:hint="eastAsia" w:hAnsi="Courier New" w:eastAsia="宋体" w:cs="Times New Roman"/>
              </w:rPr>
            </w:pPr>
            <w:r>
              <w:rPr>
                <w:rFonts w:hint="eastAsia" w:hAnsi="Courier New" w:eastAsia="宋体" w:cs="Times New Roman"/>
              </w:rPr>
              <w:t>单位地址：温州市鹿城区百里东路252号</w:t>
            </w:r>
          </w:p>
        </w:tc>
        <w:tc>
          <w:tcPr>
            <w:tcW w:w="397" w:type="dxa"/>
            <w:vMerge w:val="restart"/>
            <w:noWrap w:val="0"/>
            <w:vAlign w:val="center"/>
          </w:tcPr>
          <w:p w14:paraId="271A003E">
            <w:pPr>
              <w:pStyle w:val="5"/>
              <w:jc w:val="center"/>
            </w:pPr>
          </w:p>
          <w:p w14:paraId="2B4055AE">
            <w:pPr>
              <w:pStyle w:val="5"/>
              <w:jc w:val="center"/>
              <w:rPr>
                <w:rFonts w:hint="eastAsia"/>
              </w:rPr>
            </w:pPr>
            <w:r>
              <w:rPr>
                <w:rFonts w:hint="eastAsia"/>
              </w:rPr>
              <w:t>承</w:t>
            </w:r>
          </w:p>
          <w:p w14:paraId="028C5EEC">
            <w:pPr>
              <w:pStyle w:val="5"/>
              <w:jc w:val="center"/>
              <w:rPr>
                <w:rFonts w:hint="eastAsia"/>
              </w:rPr>
            </w:pPr>
          </w:p>
          <w:p w14:paraId="0868E4A3">
            <w:pPr>
              <w:pStyle w:val="5"/>
              <w:jc w:val="center"/>
              <w:rPr>
                <w:rFonts w:hint="eastAsia"/>
              </w:rPr>
            </w:pPr>
            <w:r>
              <w:rPr>
                <w:rFonts w:hint="eastAsia"/>
              </w:rPr>
              <w:t>揽</w:t>
            </w:r>
          </w:p>
          <w:p w14:paraId="41B6BB5C">
            <w:pPr>
              <w:pStyle w:val="5"/>
              <w:jc w:val="center"/>
              <w:rPr>
                <w:rFonts w:hint="eastAsia"/>
              </w:rPr>
            </w:pPr>
          </w:p>
          <w:p w14:paraId="4C88C590">
            <w:pPr>
              <w:pStyle w:val="5"/>
              <w:jc w:val="center"/>
            </w:pPr>
            <w:r>
              <w:rPr>
                <w:rFonts w:hint="eastAsia"/>
              </w:rPr>
              <w:t>方</w:t>
            </w:r>
          </w:p>
        </w:tc>
        <w:tc>
          <w:tcPr>
            <w:tcW w:w="4242" w:type="dxa"/>
            <w:noWrap w:val="0"/>
            <w:vAlign w:val="center"/>
          </w:tcPr>
          <w:p w14:paraId="3650CD4A">
            <w:pPr>
              <w:pStyle w:val="5"/>
            </w:pPr>
            <w:r>
              <w:rPr>
                <w:rFonts w:hint="eastAsia"/>
              </w:rPr>
              <w:t>单位地址：</w:t>
            </w:r>
          </w:p>
        </w:tc>
      </w:tr>
      <w:tr w14:paraId="68CFA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continue"/>
            <w:noWrap w:val="0"/>
            <w:vAlign w:val="center"/>
          </w:tcPr>
          <w:p w14:paraId="21BB75EA">
            <w:pPr>
              <w:pStyle w:val="5"/>
              <w:jc w:val="center"/>
            </w:pPr>
          </w:p>
        </w:tc>
        <w:tc>
          <w:tcPr>
            <w:tcW w:w="3996" w:type="dxa"/>
            <w:noWrap w:val="0"/>
            <w:vAlign w:val="center"/>
          </w:tcPr>
          <w:p w14:paraId="487C6A5C">
            <w:pPr>
              <w:pStyle w:val="5"/>
              <w:rPr>
                <w:rFonts w:hint="default" w:hAnsi="Courier New" w:eastAsia="宋体" w:cs="Times New Roman"/>
                <w:lang w:val="en-US" w:eastAsia="zh-CN"/>
              </w:rPr>
            </w:pPr>
            <w:r>
              <w:rPr>
                <w:rFonts w:hint="eastAsia" w:hAnsi="Courier New" w:eastAsia="宋体" w:cs="Times New Roman"/>
              </w:rPr>
              <w:t>邮政编码：</w:t>
            </w:r>
            <w:r>
              <w:rPr>
                <w:rFonts w:hint="eastAsia" w:hAnsi="Courier New" w:eastAsia="宋体" w:cs="Times New Roman"/>
                <w:lang w:val="en-US" w:eastAsia="zh-CN"/>
              </w:rPr>
              <w:t>/</w:t>
            </w:r>
            <w:r>
              <w:rPr>
                <w:rFonts w:hint="eastAsia" w:hAnsi="Courier New" w:eastAsia="宋体" w:cs="Times New Roman"/>
              </w:rPr>
              <w:t xml:space="preserve"> </w:t>
            </w:r>
          </w:p>
        </w:tc>
        <w:tc>
          <w:tcPr>
            <w:tcW w:w="397" w:type="dxa"/>
            <w:vMerge w:val="continue"/>
            <w:noWrap w:val="0"/>
            <w:vAlign w:val="center"/>
          </w:tcPr>
          <w:p w14:paraId="44B47264">
            <w:pPr>
              <w:pStyle w:val="5"/>
              <w:jc w:val="center"/>
            </w:pPr>
          </w:p>
        </w:tc>
        <w:tc>
          <w:tcPr>
            <w:tcW w:w="4242" w:type="dxa"/>
            <w:noWrap w:val="0"/>
            <w:vAlign w:val="center"/>
          </w:tcPr>
          <w:p w14:paraId="60B26A0C">
            <w:pPr>
              <w:pStyle w:val="5"/>
            </w:pPr>
            <w:r>
              <w:rPr>
                <w:rFonts w:hint="eastAsia"/>
              </w:rPr>
              <w:t>邮政编码：</w:t>
            </w:r>
          </w:p>
        </w:tc>
      </w:tr>
      <w:tr w14:paraId="5D0CA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continue"/>
            <w:noWrap w:val="0"/>
            <w:vAlign w:val="center"/>
          </w:tcPr>
          <w:p w14:paraId="45C8411E">
            <w:pPr>
              <w:pStyle w:val="5"/>
              <w:jc w:val="center"/>
            </w:pPr>
          </w:p>
        </w:tc>
        <w:tc>
          <w:tcPr>
            <w:tcW w:w="3996" w:type="dxa"/>
            <w:noWrap w:val="0"/>
            <w:vAlign w:val="center"/>
          </w:tcPr>
          <w:p w14:paraId="3843FA6B">
            <w:pPr>
              <w:pStyle w:val="5"/>
              <w:rPr>
                <w:rFonts w:hint="eastAsia" w:hAnsi="Courier New" w:eastAsia="宋体" w:cs="Times New Roman"/>
              </w:rPr>
            </w:pPr>
            <w:r>
              <w:rPr>
                <w:rFonts w:hint="eastAsia" w:hAnsi="Courier New" w:eastAsia="宋体" w:cs="Times New Roman"/>
              </w:rPr>
              <w:t>电    话：0577-88070056</w:t>
            </w:r>
          </w:p>
        </w:tc>
        <w:tc>
          <w:tcPr>
            <w:tcW w:w="397" w:type="dxa"/>
            <w:vMerge w:val="continue"/>
            <w:noWrap w:val="0"/>
            <w:vAlign w:val="center"/>
          </w:tcPr>
          <w:p w14:paraId="503EB3C8">
            <w:pPr>
              <w:pStyle w:val="5"/>
              <w:jc w:val="center"/>
            </w:pPr>
          </w:p>
        </w:tc>
        <w:tc>
          <w:tcPr>
            <w:tcW w:w="4242" w:type="dxa"/>
            <w:noWrap w:val="0"/>
            <w:vAlign w:val="center"/>
          </w:tcPr>
          <w:p w14:paraId="46EC76DE">
            <w:pPr>
              <w:pStyle w:val="5"/>
            </w:pPr>
            <w:r>
              <w:rPr>
                <w:rFonts w:hint="eastAsia"/>
              </w:rPr>
              <w:t>电</w:t>
            </w:r>
            <w:r>
              <w:t xml:space="preserve">    </w:t>
            </w:r>
            <w:r>
              <w:rPr>
                <w:rFonts w:hint="eastAsia"/>
              </w:rPr>
              <w:t>话：</w:t>
            </w:r>
          </w:p>
        </w:tc>
      </w:tr>
      <w:tr w14:paraId="157CE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continue"/>
            <w:noWrap w:val="0"/>
            <w:vAlign w:val="center"/>
          </w:tcPr>
          <w:p w14:paraId="3D64B9AC">
            <w:pPr>
              <w:pStyle w:val="5"/>
              <w:jc w:val="center"/>
            </w:pPr>
          </w:p>
        </w:tc>
        <w:tc>
          <w:tcPr>
            <w:tcW w:w="3996" w:type="dxa"/>
            <w:noWrap w:val="0"/>
            <w:vAlign w:val="center"/>
          </w:tcPr>
          <w:p w14:paraId="2F658454">
            <w:pPr>
              <w:pStyle w:val="5"/>
              <w:rPr>
                <w:rFonts w:hint="eastAsia" w:hAnsi="Courier New" w:eastAsia="宋体" w:cs="Times New Roman"/>
              </w:rPr>
            </w:pPr>
            <w:r>
              <w:rPr>
                <w:rFonts w:hint="eastAsia" w:hAnsi="Courier New" w:eastAsia="宋体" w:cs="Times New Roman"/>
              </w:rPr>
              <w:t>开户银行：</w:t>
            </w:r>
            <w:r>
              <w:rPr>
                <w:rFonts w:ascii="sans-serif" w:hAnsi="sans-serif" w:eastAsia="sans-serif" w:cs="sans-serif"/>
                <w:i w:val="0"/>
                <w:iCs w:val="0"/>
                <w:caps w:val="0"/>
                <w:spacing w:val="0"/>
                <w:sz w:val="21"/>
                <w:szCs w:val="21"/>
                <w:shd w:val="clear" w:color="auto" w:fill="FFFFFF"/>
              </w:rPr>
              <w:t>建行温州市分行</w:t>
            </w:r>
          </w:p>
        </w:tc>
        <w:tc>
          <w:tcPr>
            <w:tcW w:w="397" w:type="dxa"/>
            <w:vMerge w:val="continue"/>
            <w:noWrap w:val="0"/>
            <w:vAlign w:val="center"/>
          </w:tcPr>
          <w:p w14:paraId="41590EAF">
            <w:pPr>
              <w:pStyle w:val="5"/>
              <w:jc w:val="center"/>
            </w:pPr>
          </w:p>
        </w:tc>
        <w:tc>
          <w:tcPr>
            <w:tcW w:w="4242" w:type="dxa"/>
            <w:noWrap w:val="0"/>
            <w:vAlign w:val="center"/>
          </w:tcPr>
          <w:p w14:paraId="6914E128">
            <w:pPr>
              <w:pStyle w:val="5"/>
            </w:pPr>
            <w:r>
              <w:rPr>
                <w:rFonts w:hint="eastAsia"/>
              </w:rPr>
              <w:t>开户银行：</w:t>
            </w:r>
          </w:p>
        </w:tc>
      </w:tr>
      <w:tr w14:paraId="105DC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continue"/>
            <w:noWrap w:val="0"/>
            <w:vAlign w:val="center"/>
          </w:tcPr>
          <w:p w14:paraId="4E882201">
            <w:pPr>
              <w:pStyle w:val="5"/>
              <w:jc w:val="center"/>
            </w:pPr>
          </w:p>
        </w:tc>
        <w:tc>
          <w:tcPr>
            <w:tcW w:w="3996" w:type="dxa"/>
            <w:noWrap w:val="0"/>
            <w:vAlign w:val="center"/>
          </w:tcPr>
          <w:p w14:paraId="0728EE7D">
            <w:pPr>
              <w:pStyle w:val="5"/>
              <w:rPr>
                <w:rFonts w:hint="eastAsia" w:hAnsi="Courier New" w:eastAsia="宋体" w:cs="Times New Roman"/>
              </w:rPr>
            </w:pPr>
            <w:r>
              <w:rPr>
                <w:rFonts w:hint="eastAsia" w:hAnsi="Courier New" w:eastAsia="宋体" w:cs="Times New Roman"/>
              </w:rPr>
              <w:t>银行帐号：33001623535050036211</w:t>
            </w:r>
          </w:p>
        </w:tc>
        <w:tc>
          <w:tcPr>
            <w:tcW w:w="397" w:type="dxa"/>
            <w:vMerge w:val="continue"/>
            <w:noWrap w:val="0"/>
            <w:vAlign w:val="center"/>
          </w:tcPr>
          <w:p w14:paraId="0053F1BD">
            <w:pPr>
              <w:pStyle w:val="5"/>
              <w:jc w:val="center"/>
            </w:pPr>
          </w:p>
        </w:tc>
        <w:tc>
          <w:tcPr>
            <w:tcW w:w="4242" w:type="dxa"/>
            <w:noWrap w:val="0"/>
            <w:vAlign w:val="center"/>
          </w:tcPr>
          <w:p w14:paraId="58347639">
            <w:pPr>
              <w:pStyle w:val="5"/>
            </w:pPr>
            <w:r>
              <w:rPr>
                <w:rFonts w:hint="eastAsia"/>
              </w:rPr>
              <w:t>银行帐号：</w:t>
            </w:r>
          </w:p>
        </w:tc>
      </w:tr>
    </w:tbl>
    <w:p w14:paraId="2726B06C">
      <w:pPr>
        <w:pStyle w:val="5"/>
        <w:spacing w:line="360" w:lineRule="auto"/>
        <w:rPr>
          <w:rFonts w:hint="eastAsia"/>
        </w:rPr>
      </w:pPr>
    </w:p>
    <w:p w14:paraId="30D63A90">
      <w:pPr>
        <w:pStyle w:val="5"/>
        <w:spacing w:line="360" w:lineRule="auto"/>
      </w:pPr>
      <w:r>
        <w:t xml:space="preserve"> </w:t>
      </w:r>
      <w:r>
        <w:rPr>
          <w:rFonts w:hint="eastAsia"/>
        </w:rPr>
        <w:t>委托方单位名称（盖章）</w:t>
      </w:r>
      <w:r>
        <w:t xml:space="preserve">    </w:t>
      </w:r>
      <w:r>
        <w:rPr>
          <w:rFonts w:hint="eastAsia"/>
        </w:rPr>
        <w:t xml:space="preserve">                 承揽方单位名称（盖章）</w:t>
      </w:r>
    </w:p>
    <w:p w14:paraId="666159FE">
      <w:pPr>
        <w:pStyle w:val="5"/>
        <w:spacing w:line="360" w:lineRule="auto"/>
        <w:rPr>
          <w:rFonts w:hint="eastAsia"/>
        </w:rPr>
      </w:pPr>
      <w:r>
        <w:t xml:space="preserve"> </w:t>
      </w:r>
      <w:r>
        <w:rPr>
          <w:rFonts w:hint="eastAsia"/>
        </w:rPr>
        <w:t xml:space="preserve"> </w:t>
      </w:r>
    </w:p>
    <w:p w14:paraId="1880E1BA">
      <w:pPr>
        <w:pStyle w:val="5"/>
        <w:spacing w:line="360" w:lineRule="auto"/>
        <w:ind w:firstLine="105" w:firstLineChars="50"/>
        <w:rPr>
          <w:rFonts w:hint="eastAsia"/>
        </w:rPr>
      </w:pPr>
      <w:r>
        <w:rPr>
          <w:rFonts w:hint="eastAsia"/>
        </w:rPr>
        <w:t>法定代表人                                 法定代表人</w:t>
      </w:r>
    </w:p>
    <w:p w14:paraId="68B18BFE">
      <w:pPr>
        <w:pStyle w:val="5"/>
        <w:spacing w:line="360" w:lineRule="auto"/>
        <w:ind w:firstLine="105" w:firstLineChars="50"/>
        <w:rPr>
          <w:rFonts w:hint="eastAsia"/>
        </w:rPr>
      </w:pPr>
      <w:r>
        <w:rPr>
          <w:rFonts w:hint="eastAsia"/>
        </w:rPr>
        <w:t>或委托代理人：                             或委托代理人：</w:t>
      </w:r>
    </w:p>
    <w:p w14:paraId="2719E5F4">
      <w:pPr>
        <w:pStyle w:val="5"/>
        <w:spacing w:line="360" w:lineRule="auto"/>
        <w:ind w:firstLine="105" w:firstLineChars="50"/>
        <w:rPr>
          <w:rFonts w:hint="eastAsia"/>
        </w:rPr>
      </w:pPr>
      <w:r>
        <w:rPr>
          <w:rFonts w:hint="eastAsia"/>
        </w:rPr>
        <w:t>（签字/盖章）</w:t>
      </w:r>
      <w:r>
        <w:t xml:space="preserve">               </w:t>
      </w:r>
      <w:r>
        <w:rPr>
          <w:rFonts w:hint="eastAsia"/>
        </w:rPr>
        <w:t xml:space="preserve">              （签字/盖章）：</w:t>
      </w:r>
    </w:p>
    <w:p w14:paraId="48F32D73">
      <w:pPr>
        <w:pStyle w:val="5"/>
        <w:spacing w:line="360" w:lineRule="auto"/>
        <w:rPr>
          <w:rFonts w:hint="eastAsia"/>
          <w:lang w:val="en-US" w:eastAsia="zh-CN"/>
        </w:rPr>
      </w:pPr>
      <w:r>
        <w:rPr>
          <w:rFonts w:hint="eastAsia"/>
          <w:lang w:val="en-US" w:eastAsia="zh-CN"/>
        </w:rPr>
        <w:t xml:space="preserve"> 联系人:                                    联系人: 周 萌</w:t>
      </w:r>
    </w:p>
    <w:p w14:paraId="005833F7">
      <w:pPr>
        <w:pStyle w:val="5"/>
        <w:spacing w:line="360" w:lineRule="auto"/>
        <w:rPr>
          <w:rFonts w:hint="default"/>
          <w:lang w:val="en-US" w:eastAsia="zh-CN"/>
        </w:rPr>
      </w:pPr>
    </w:p>
    <w:p w14:paraId="59E1B4CC">
      <w:pPr>
        <w:pStyle w:val="5"/>
        <w:rPr>
          <w:rFonts w:hint="eastAsia"/>
        </w:rPr>
      </w:pPr>
      <w:r>
        <w:rPr>
          <w:rFonts w:hint="eastAsia"/>
          <w:lang w:val="en-US" w:eastAsia="zh-CN"/>
        </w:rPr>
        <w:t xml:space="preserve"> </w:t>
      </w:r>
      <w:r>
        <w:rPr>
          <w:rFonts w:hint="eastAsia"/>
        </w:rPr>
        <w:t>时间：    年   月   日                    时间：    年   月   日</w:t>
      </w:r>
    </w:p>
    <w:p w14:paraId="23DD100C">
      <w:pPr>
        <w:pStyle w:val="5"/>
        <w:rPr>
          <w:rFonts w:hint="eastAsia"/>
        </w:rPr>
      </w:pPr>
      <w:r>
        <w:rPr>
          <w:rFonts w:hint="eastAsia"/>
        </w:rPr>
        <w:t xml:space="preserve">  </w:t>
      </w:r>
    </w:p>
    <w:p w14:paraId="058607A8">
      <w:pPr>
        <w:pStyle w:val="5"/>
        <w:rPr>
          <w:rFonts w:hint="eastAsia"/>
        </w:rPr>
      </w:pPr>
    </w:p>
    <w:p w14:paraId="1BCFC45D"/>
    <w:sectPr>
      <w:headerReference r:id="rId3" w:type="default"/>
      <w:pgSz w:w="11906" w:h="16838"/>
      <w:pgMar w:top="1247" w:right="1752" w:bottom="1247" w:left="1752"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ans-serif">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DE932">
    <w:pPr>
      <w:pStyle w:val="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CB5181"/>
    <w:multiLevelType w:val="singleLevel"/>
    <w:tmpl w:val="26CB5181"/>
    <w:lvl w:ilvl="0" w:tentative="0">
      <w:start w:val="1"/>
      <w:numFmt w:val="decimal"/>
      <w:lvlText w:val="%1."/>
      <w:lvlJc w:val="left"/>
      <w:pPr>
        <w:tabs>
          <w:tab w:val="left" w:pos="312"/>
        </w:tabs>
      </w:pPr>
    </w:lvl>
  </w:abstractNum>
  <w:abstractNum w:abstractNumId="1">
    <w:nsid w:val="30DE69FC"/>
    <w:multiLevelType w:val="singleLevel"/>
    <w:tmpl w:val="30DE69FC"/>
    <w:lvl w:ilvl="0" w:tentative="0">
      <w:start w:val="1"/>
      <w:numFmt w:val="decimal"/>
      <w:lvlText w:val="%1."/>
      <w:lvlJc w:val="left"/>
      <w:pPr>
        <w:tabs>
          <w:tab w:val="left" w:pos="312"/>
        </w:tabs>
      </w:pPr>
    </w:lvl>
  </w:abstractNum>
  <w:abstractNum w:abstractNumId="2">
    <w:nsid w:val="38F268B4"/>
    <w:multiLevelType w:val="multilevel"/>
    <w:tmpl w:val="38F268B4"/>
    <w:lvl w:ilvl="0" w:tentative="0">
      <w:start w:val="2"/>
      <w:numFmt w:val="japaneseCounting"/>
      <w:lvlText w:val="第%1条"/>
      <w:lvlJc w:val="left"/>
      <w:pPr>
        <w:tabs>
          <w:tab w:val="left" w:pos="1260"/>
        </w:tabs>
        <w:ind w:left="1260" w:hanging="84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5C806E37"/>
    <w:multiLevelType w:val="multilevel"/>
    <w:tmpl w:val="5C806E37"/>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5EDED640"/>
    <w:multiLevelType w:val="singleLevel"/>
    <w:tmpl w:val="5EDED640"/>
    <w:lvl w:ilvl="0" w:tentative="0">
      <w:start w:val="1"/>
      <w:numFmt w:val="chineseCounting"/>
      <w:suff w:val="nothing"/>
      <w:lvlText w:val="%1、"/>
      <w:lvlJc w:val="left"/>
      <w:rPr>
        <w:rFonts w:hint="eastAsia"/>
      </w:rPr>
    </w:lvl>
  </w:abstractNum>
  <w:abstractNum w:abstractNumId="5">
    <w:nsid w:val="78632E82"/>
    <w:multiLevelType w:val="multilevel"/>
    <w:tmpl w:val="78632E82"/>
    <w:lvl w:ilvl="0" w:tentative="0">
      <w:start w:val="4"/>
      <w:numFmt w:val="japaneseCounting"/>
      <w:lvlText w:val="第%1条"/>
      <w:lvlJc w:val="left"/>
      <w:pPr>
        <w:tabs>
          <w:tab w:val="left" w:pos="1260"/>
        </w:tabs>
        <w:ind w:left="1260" w:hanging="84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56027"/>
    <w:rsid w:val="159521D6"/>
    <w:rsid w:val="15B716F5"/>
    <w:rsid w:val="267A117C"/>
    <w:rsid w:val="47584757"/>
    <w:rsid w:val="54A32F78"/>
    <w:rsid w:val="62CE7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textAlignment w:val="baseline"/>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Plain Text"/>
    <w:basedOn w:val="1"/>
    <w:qFormat/>
    <w:uiPriority w:val="0"/>
    <w:rPr>
      <w:rFonts w:ascii="宋体" w:hAnsi="Courier Ne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3321</Words>
  <Characters>3422</Characters>
  <Lines>0</Lines>
  <Paragraphs>0</Paragraphs>
  <TotalTime>0</TotalTime>
  <ScaleCrop>false</ScaleCrop>
  <LinksUpToDate>false</LinksUpToDate>
  <CharactersWithSpaces>4211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2026-10-20T01:05:00Z</dcterms:created>
  <dc:creator>Administrator</dc:creator>
  <cp:lastModifiedBy>王瑶</cp:lastModifiedBy>
  <dcterms:modified xsi:type="dcterms:W3CDTF">2026-10-22T03:09:12Z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eyJoZGlkIjoiYjMzYTA4ZmNlMjc1ZGQxNjI1N2Q2OGVmNThkZmJlNDEiLCJ1c2VySWQiOiIyODcwMzg2OTgifQ==</vt:lpwstr>
  </property>
  <property fmtid="{D5CDD505-2E9C-101B-9397-08002B2CF9AE}" pid="4" name="ICV">
    <vt:lpwstr>87093622AF1D495C9846CE69E895514B_12</vt:lpwstr>
  </property>
</Properties>
</file>